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8" w:rsidRDefault="009E16A8" w:rsidP="007F4CBB">
      <w:pPr>
        <w:jc w:val="center"/>
      </w:pPr>
      <w:bookmarkStart w:id="0" w:name="_Toc436129632"/>
      <w:r>
        <w:rPr>
          <w:noProof/>
          <w:lang w:eastAsia="cs-CZ"/>
        </w:rPr>
        <w:drawing>
          <wp:inline distT="0" distB="0" distL="0" distR="0" wp14:anchorId="78B8A6C7" wp14:editId="5EE32763">
            <wp:extent cx="551302" cy="975947"/>
            <wp:effectExtent l="0" t="0" r="127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7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12DF" w:rsidRDefault="003A12DF" w:rsidP="003A12DF">
      <w:pPr>
        <w:pStyle w:val="Nadpis1"/>
        <w:jc w:val="center"/>
        <w:rPr>
          <w:color w:val="548DD4" w:themeColor="text2" w:themeTint="99"/>
        </w:rPr>
      </w:pPr>
      <w:bookmarkStart w:id="1" w:name="_Toc499483297"/>
      <w:bookmarkStart w:id="2" w:name="_Toc31054461"/>
      <w:bookmarkStart w:id="3" w:name="_Toc31055034"/>
      <w:r>
        <w:rPr>
          <w:color w:val="548DD4" w:themeColor="text2" w:themeTint="99"/>
        </w:rPr>
        <w:t>M</w:t>
      </w:r>
      <w:r w:rsidR="009E16A8">
        <w:rPr>
          <w:color w:val="548DD4" w:themeColor="text2" w:themeTint="99"/>
        </w:rPr>
        <w:t>ěsto Benešov nad Ploučnicí</w:t>
      </w:r>
      <w:bookmarkEnd w:id="0"/>
      <w:bookmarkEnd w:id="1"/>
      <w:bookmarkEnd w:id="2"/>
      <w:bookmarkEnd w:id="3"/>
    </w:p>
    <w:p w:rsidR="003A12DF" w:rsidRPr="003A12DF" w:rsidRDefault="003A12DF" w:rsidP="003A12DF">
      <w:pPr>
        <w:pStyle w:val="Nadpis1"/>
        <w:jc w:val="center"/>
        <w:rPr>
          <w:color w:val="548DD4" w:themeColor="text2" w:themeTint="99"/>
          <w:sz w:val="20"/>
          <w:szCs w:val="20"/>
        </w:rPr>
      </w:pPr>
      <w:bookmarkStart w:id="4" w:name="_Toc31054462"/>
      <w:bookmarkStart w:id="5" w:name="_Toc31055035"/>
      <w:r w:rsidRPr="003A12DF">
        <w:rPr>
          <w:color w:val="548DD4" w:themeColor="text2" w:themeTint="99"/>
          <w:sz w:val="20"/>
          <w:szCs w:val="20"/>
        </w:rPr>
        <w:t>náměstí Míru 1, Benešov nad Ploučnicí, IČO 00261181</w:t>
      </w:r>
      <w:bookmarkEnd w:id="4"/>
      <w:bookmarkEnd w:id="5"/>
    </w:p>
    <w:p w:rsidR="009E16A8" w:rsidRDefault="00AB7085" w:rsidP="009E16A8">
      <w:pPr>
        <w:pStyle w:val="Nadpis1"/>
        <w:jc w:val="center"/>
        <w:rPr>
          <w:color w:val="548DD4" w:themeColor="text2" w:themeTint="99"/>
        </w:rPr>
      </w:pPr>
      <w:bookmarkStart w:id="6" w:name="_Toc436129633"/>
      <w:bookmarkStart w:id="7" w:name="_Toc471638943"/>
      <w:bookmarkStart w:id="8" w:name="_Toc499483298"/>
      <w:bookmarkStart w:id="9" w:name="_Toc31055036"/>
      <w:r>
        <w:rPr>
          <w:color w:val="548DD4" w:themeColor="text2" w:themeTint="99"/>
        </w:rPr>
        <w:t>Rozpočet na rok</w:t>
      </w:r>
      <w:r w:rsidR="009E16A8">
        <w:rPr>
          <w:color w:val="548DD4" w:themeColor="text2" w:themeTint="99"/>
        </w:rPr>
        <w:t xml:space="preserve"> 20</w:t>
      </w:r>
      <w:bookmarkEnd w:id="6"/>
      <w:bookmarkEnd w:id="7"/>
      <w:bookmarkEnd w:id="8"/>
      <w:r w:rsidR="00766E1A">
        <w:rPr>
          <w:color w:val="548DD4" w:themeColor="text2" w:themeTint="99"/>
        </w:rPr>
        <w:t>20</w:t>
      </w:r>
      <w:bookmarkEnd w:id="9"/>
    </w:p>
    <w:tbl>
      <w:tblPr>
        <w:tblW w:w="10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40"/>
      </w:tblGrid>
      <w:tr w:rsidR="009E16A8" w:rsidTr="009E16A8">
        <w:trPr>
          <w:trHeight w:val="315"/>
        </w:trPr>
        <w:tc>
          <w:tcPr>
            <w:tcW w:w="10540" w:type="dxa"/>
            <w:noWrap/>
            <w:vAlign w:val="center"/>
          </w:tcPr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E16A8" w:rsidRPr="00101418" w:rsidRDefault="009E16A8" w:rsidP="009E16A8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noProof/>
                <w:color w:val="000000"/>
                <w:lang w:eastAsia="cs-CZ"/>
              </w:rPr>
              <w:drawing>
                <wp:inline distT="0" distB="0" distL="0" distR="0" wp14:anchorId="03DF201F" wp14:editId="21DFF0CC">
                  <wp:extent cx="3752850" cy="2543175"/>
                  <wp:effectExtent l="0" t="0" r="0" b="9525"/>
                  <wp:docPr id="2" name="Obrázek 2" descr="11430150_999065066778459_6891021518464333924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11430150_999065066778459_6891021518464333924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2850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Projednáno: </w:t>
            </w: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</w:t>
            </w: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Default="00C16BC5" w:rsidP="007F4CB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pracovním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zastupitelstvem</w:t>
            </w:r>
            <w:r w:rsidR="00953820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953820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</w:t>
            </w:r>
            <w:r w:rsidR="00953820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dne</w:t>
            </w:r>
            <w:proofErr w:type="gramEnd"/>
            <w:r w:rsidR="00953820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gramStart"/>
            <w:r w:rsidR="00766E1A">
              <w:rPr>
                <w:rFonts w:ascii="Calibri" w:eastAsia="Times New Roman" w:hAnsi="Calibri" w:cs="Times New Roman"/>
                <w:color w:val="000000"/>
                <w:lang w:eastAsia="cs-CZ"/>
              </w:rPr>
              <w:t>27.1.2020</w:t>
            </w:r>
            <w:proofErr w:type="gramEnd"/>
          </w:p>
          <w:p w:rsidR="00C16BC5" w:rsidRPr="00101418" w:rsidRDefault="00C16BC5" w:rsidP="003874EF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finančním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výborem                                                     </w:t>
            </w:r>
            <w:r w:rsidR="000445F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d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874EF">
              <w:rPr>
                <w:rFonts w:ascii="Calibri" w:eastAsia="Times New Roman" w:hAnsi="Calibri" w:cs="Times New Roman"/>
                <w:color w:val="000000"/>
                <w:lang w:eastAsia="cs-CZ"/>
              </w:rPr>
              <w:t>3. 2.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20</w:t>
            </w:r>
            <w:r w:rsidR="00766E1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zastupitelstvem </w:t>
            </w:r>
            <w:proofErr w:type="gramStart"/>
            <w:r w:rsidR="00CD6AAB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>města</w:t>
            </w: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</w:t>
            </w:r>
            <w:r w:rsidR="00C16BC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                       </w:t>
            </w: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>dne</w:t>
            </w:r>
            <w:proofErr w:type="gramEnd"/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r w:rsidR="003874EF">
              <w:rPr>
                <w:rFonts w:ascii="Calibri" w:eastAsia="Times New Roman" w:hAnsi="Calibri" w:cs="Times New Roman"/>
                <w:color w:val="000000"/>
                <w:lang w:eastAsia="cs-CZ"/>
              </w:rPr>
              <w:t>12. 2. 2020</w:t>
            </w:r>
          </w:p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 w:rsidP="009E16A8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>Zpracoval:     Bc. Lenka Sluková – vedoucí finančního odboru</w:t>
            </w: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 w:rsidP="009E16A8">
            <w:pPr>
              <w:spacing w:after="0"/>
              <w:rPr>
                <w:rFonts w:cs="Times New Roman"/>
              </w:rPr>
            </w:pP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 w:rsidP="009E16A8">
            <w:pPr>
              <w:spacing w:after="0"/>
              <w:rPr>
                <w:rFonts w:cs="Times New Roman"/>
              </w:rPr>
            </w:pP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 w:rsidP="00AB7085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Zveřejněno dne:   </w:t>
            </w:r>
            <w:r w:rsidR="00766E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</w:t>
            </w:r>
            <w:proofErr w:type="gramStart"/>
            <w:r w:rsidR="00AB7085">
              <w:rPr>
                <w:rFonts w:ascii="Calibri" w:eastAsia="Times New Roman" w:hAnsi="Calibri" w:cs="Times New Roman"/>
                <w:color w:val="000000"/>
                <w:lang w:eastAsia="cs-CZ"/>
              </w:rPr>
              <w:t>28.1.2020</w:t>
            </w:r>
            <w:proofErr w:type="gramEnd"/>
            <w:r w:rsidR="00766E1A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   </w:t>
            </w: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                       Sejmuto dne</w:t>
            </w:r>
            <w:r w:rsidR="00AB708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: </w:t>
            </w:r>
            <w:proofErr w:type="gramStart"/>
            <w:r w:rsidR="00AB7085">
              <w:rPr>
                <w:rFonts w:ascii="Calibri" w:eastAsia="Times New Roman" w:hAnsi="Calibri" w:cs="Times New Roman"/>
                <w:color w:val="000000"/>
                <w:lang w:eastAsia="cs-CZ"/>
              </w:rPr>
              <w:t>13.2.2020</w:t>
            </w:r>
            <w:proofErr w:type="gramEnd"/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 w:rsidP="007F4CBB">
            <w:pPr>
              <w:spacing w:after="0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Schváleno dne:  </w:t>
            </w:r>
            <w:r w:rsidR="00953820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      </w:t>
            </w:r>
            <w:r w:rsidR="00E023FC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</w:tc>
      </w:tr>
      <w:tr w:rsidR="009E16A8" w:rsidTr="009E16A8">
        <w:trPr>
          <w:trHeight w:val="315"/>
        </w:trPr>
        <w:tc>
          <w:tcPr>
            <w:tcW w:w="10540" w:type="dxa"/>
            <w:noWrap/>
            <w:vAlign w:val="center"/>
            <w:hideMark/>
          </w:tcPr>
          <w:p w:rsidR="009E16A8" w:rsidRPr="00101418" w:rsidRDefault="009E16A8">
            <w:pPr>
              <w:spacing w:after="0"/>
              <w:rPr>
                <w:rFonts w:cs="Times New Roman"/>
              </w:rPr>
            </w:pPr>
          </w:p>
        </w:tc>
      </w:tr>
      <w:tr w:rsidR="009E16A8" w:rsidTr="00AB7085">
        <w:trPr>
          <w:trHeight w:val="353"/>
        </w:trPr>
        <w:tc>
          <w:tcPr>
            <w:tcW w:w="10540" w:type="dxa"/>
            <w:noWrap/>
            <w:vAlign w:val="center"/>
            <w:hideMark/>
          </w:tcPr>
          <w:p w:rsidR="00CD6AAB" w:rsidRPr="00101418" w:rsidRDefault="009E16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Usnesením zastupitelstva města č.  </w:t>
            </w:r>
            <w:r w:rsidR="00AB7085">
              <w:rPr>
                <w:rFonts w:ascii="Calibri" w:eastAsia="Times New Roman" w:hAnsi="Calibri" w:cs="Times New Roman"/>
                <w:color w:val="000000"/>
                <w:lang w:eastAsia="cs-CZ"/>
              </w:rPr>
              <w:t>4/2020</w:t>
            </w:r>
          </w:p>
          <w:p w:rsidR="007D5DA3" w:rsidRPr="00101418" w:rsidRDefault="007D5D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D5DA3" w:rsidRPr="00101418" w:rsidRDefault="00AC411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>Při sestavování, projednávání a</w:t>
            </w:r>
            <w:r w:rsidR="007F4CBB"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schvalování rozpočtu na rok 20</w:t>
            </w:r>
            <w:r w:rsidR="00766E1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byla současně provedena předběžná řídící finanční kontrola.</w:t>
            </w:r>
          </w:p>
          <w:p w:rsidR="007D5DA3" w:rsidRDefault="001E5108" w:rsidP="001E5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101418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 xml:space="preserve"> </w:t>
            </w:r>
          </w:p>
          <w:p w:rsidR="00FF470D" w:rsidRPr="00101418" w:rsidRDefault="00FF470D" w:rsidP="001E5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F3878" w:rsidRPr="00101418" w:rsidRDefault="007F3878" w:rsidP="001E5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7F3878" w:rsidRPr="00101418" w:rsidRDefault="007F3878" w:rsidP="001E5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2012833368"/>
        <w:docPartObj>
          <w:docPartGallery w:val="Table of Contents"/>
          <w:docPartUnique/>
        </w:docPartObj>
      </w:sdtPr>
      <w:sdtEndPr/>
      <w:sdtContent>
        <w:p w:rsidR="002642C6" w:rsidRDefault="002642C6">
          <w:pPr>
            <w:pStyle w:val="Nadpisobsahu"/>
          </w:pPr>
          <w:r>
            <w:t>Obsah</w:t>
          </w:r>
        </w:p>
        <w:p w:rsidR="002642C6" w:rsidRDefault="002642C6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055037" w:history="1">
            <w:r w:rsidRPr="007D0346">
              <w:rPr>
                <w:rStyle w:val="Hypertextovodkaz"/>
              </w:rPr>
              <w:t>1 Prameny rozpočtového práva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_Toc31055037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31055038" w:history="1">
            <w:r w:rsidR="002642C6" w:rsidRPr="007D0346">
              <w:rPr>
                <w:rStyle w:val="Hypertextovodkaz"/>
              </w:rPr>
              <w:t>2 Rekapitulace hlavních změn za poslední roky</w:t>
            </w:r>
            <w:r w:rsidR="002642C6">
              <w:rPr>
                <w:webHidden/>
              </w:rPr>
              <w:tab/>
            </w:r>
            <w:r w:rsidR="002642C6">
              <w:rPr>
                <w:webHidden/>
              </w:rPr>
              <w:fldChar w:fldCharType="begin"/>
            </w:r>
            <w:r w:rsidR="002642C6">
              <w:rPr>
                <w:webHidden/>
              </w:rPr>
              <w:instrText xml:space="preserve"> PAGEREF _Toc31055038 \h </w:instrText>
            </w:r>
            <w:r w:rsidR="002642C6">
              <w:rPr>
                <w:webHidden/>
              </w:rPr>
            </w:r>
            <w:r w:rsidR="002642C6"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3</w:t>
            </w:r>
            <w:r w:rsidR="002642C6"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31055039" w:history="1">
            <w:r w:rsidR="002642C6" w:rsidRPr="007D0346">
              <w:rPr>
                <w:rStyle w:val="Hypertextovodkaz"/>
              </w:rPr>
              <w:t>3 Rozpočet města</w:t>
            </w:r>
            <w:r w:rsidR="002642C6">
              <w:rPr>
                <w:webHidden/>
              </w:rPr>
              <w:tab/>
            </w:r>
            <w:r w:rsidR="002642C6">
              <w:rPr>
                <w:webHidden/>
              </w:rPr>
              <w:fldChar w:fldCharType="begin"/>
            </w:r>
            <w:r w:rsidR="002642C6">
              <w:rPr>
                <w:webHidden/>
              </w:rPr>
              <w:instrText xml:space="preserve"> PAGEREF _Toc31055039 \h </w:instrText>
            </w:r>
            <w:r w:rsidR="002642C6">
              <w:rPr>
                <w:webHidden/>
              </w:rPr>
            </w:r>
            <w:r w:rsidR="002642C6"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4</w:t>
            </w:r>
            <w:r w:rsidR="002642C6"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2"/>
            <w:tabs>
              <w:tab w:val="right" w:leader="dot" w:pos="10762"/>
            </w:tabs>
            <w:rPr>
              <w:rFonts w:eastAsiaTheme="minorEastAsia"/>
              <w:noProof/>
              <w:lang w:eastAsia="cs-CZ"/>
            </w:rPr>
          </w:pPr>
          <w:hyperlink w:anchor="_Toc31055040" w:history="1">
            <w:r w:rsidR="002642C6" w:rsidRPr="007D0346">
              <w:rPr>
                <w:rStyle w:val="Hypertextovodkaz"/>
                <w:noProof/>
              </w:rPr>
              <w:t>3. 1 PŘÍJMY</w:t>
            </w:r>
            <w:r w:rsidR="002642C6">
              <w:rPr>
                <w:noProof/>
                <w:webHidden/>
              </w:rPr>
              <w:tab/>
            </w:r>
            <w:r w:rsidR="002642C6">
              <w:rPr>
                <w:noProof/>
                <w:webHidden/>
              </w:rPr>
              <w:fldChar w:fldCharType="begin"/>
            </w:r>
            <w:r w:rsidR="002642C6">
              <w:rPr>
                <w:noProof/>
                <w:webHidden/>
              </w:rPr>
              <w:instrText xml:space="preserve"> PAGEREF _Toc31055040 \h </w:instrText>
            </w:r>
            <w:r w:rsidR="002642C6">
              <w:rPr>
                <w:noProof/>
                <w:webHidden/>
              </w:rPr>
            </w:r>
            <w:r w:rsidR="002642C6">
              <w:rPr>
                <w:noProof/>
                <w:webHidden/>
              </w:rPr>
              <w:fldChar w:fldCharType="separate"/>
            </w:r>
            <w:r w:rsidR="003874EF">
              <w:rPr>
                <w:noProof/>
                <w:webHidden/>
              </w:rPr>
              <w:t>5</w:t>
            </w:r>
            <w:r w:rsidR="002642C6">
              <w:rPr>
                <w:noProof/>
                <w:webHidden/>
              </w:rPr>
              <w:fldChar w:fldCharType="end"/>
            </w:r>
          </w:hyperlink>
        </w:p>
        <w:p w:rsidR="002642C6" w:rsidRDefault="00AB7085">
          <w:pPr>
            <w:pStyle w:val="Obsah2"/>
            <w:tabs>
              <w:tab w:val="right" w:leader="dot" w:pos="10762"/>
            </w:tabs>
            <w:rPr>
              <w:rFonts w:eastAsiaTheme="minorEastAsia"/>
              <w:noProof/>
              <w:lang w:eastAsia="cs-CZ"/>
            </w:rPr>
          </w:pPr>
          <w:hyperlink w:anchor="_Toc31055047" w:history="1">
            <w:r w:rsidR="002642C6" w:rsidRPr="007D0346">
              <w:rPr>
                <w:rStyle w:val="Hypertextovodkaz"/>
                <w:noProof/>
              </w:rPr>
              <w:t>3. 2 VÝDAJE</w:t>
            </w:r>
            <w:r w:rsidR="002642C6">
              <w:rPr>
                <w:noProof/>
                <w:webHidden/>
              </w:rPr>
              <w:tab/>
            </w:r>
            <w:r w:rsidR="002642C6">
              <w:rPr>
                <w:noProof/>
                <w:webHidden/>
              </w:rPr>
              <w:fldChar w:fldCharType="begin"/>
            </w:r>
            <w:r w:rsidR="002642C6">
              <w:rPr>
                <w:noProof/>
                <w:webHidden/>
              </w:rPr>
              <w:instrText xml:space="preserve"> PAGEREF _Toc31055047 \h </w:instrText>
            </w:r>
            <w:r w:rsidR="002642C6">
              <w:rPr>
                <w:noProof/>
                <w:webHidden/>
              </w:rPr>
            </w:r>
            <w:r w:rsidR="002642C6">
              <w:rPr>
                <w:noProof/>
                <w:webHidden/>
              </w:rPr>
              <w:fldChar w:fldCharType="separate"/>
            </w:r>
            <w:r w:rsidR="003874EF">
              <w:rPr>
                <w:noProof/>
                <w:webHidden/>
              </w:rPr>
              <w:t>7</w:t>
            </w:r>
            <w:r w:rsidR="002642C6">
              <w:rPr>
                <w:noProof/>
                <w:webHidden/>
              </w:rPr>
              <w:fldChar w:fldCharType="end"/>
            </w:r>
          </w:hyperlink>
        </w:p>
        <w:p w:rsidR="002642C6" w:rsidRDefault="00AB7085">
          <w:pPr>
            <w:pStyle w:val="Obsah2"/>
            <w:tabs>
              <w:tab w:val="right" w:leader="dot" w:pos="10762"/>
            </w:tabs>
            <w:rPr>
              <w:rFonts w:eastAsiaTheme="minorEastAsia"/>
              <w:noProof/>
              <w:lang w:eastAsia="cs-CZ"/>
            </w:rPr>
          </w:pPr>
          <w:hyperlink w:anchor="_Toc31055048" w:history="1">
            <w:r w:rsidR="002642C6" w:rsidRPr="007D0346">
              <w:rPr>
                <w:rStyle w:val="Hypertextovodkaz"/>
                <w:noProof/>
              </w:rPr>
              <w:t>3. 3 Financování</w:t>
            </w:r>
            <w:r w:rsidR="002642C6">
              <w:rPr>
                <w:noProof/>
                <w:webHidden/>
              </w:rPr>
              <w:tab/>
            </w:r>
            <w:r w:rsidR="002642C6">
              <w:rPr>
                <w:noProof/>
                <w:webHidden/>
              </w:rPr>
              <w:fldChar w:fldCharType="begin"/>
            </w:r>
            <w:r w:rsidR="002642C6">
              <w:rPr>
                <w:noProof/>
                <w:webHidden/>
              </w:rPr>
              <w:instrText xml:space="preserve"> PAGEREF _Toc31055048 \h </w:instrText>
            </w:r>
            <w:r w:rsidR="002642C6">
              <w:rPr>
                <w:noProof/>
                <w:webHidden/>
              </w:rPr>
            </w:r>
            <w:r w:rsidR="002642C6">
              <w:rPr>
                <w:noProof/>
                <w:webHidden/>
              </w:rPr>
              <w:fldChar w:fldCharType="separate"/>
            </w:r>
            <w:r w:rsidR="003874EF">
              <w:rPr>
                <w:noProof/>
                <w:webHidden/>
              </w:rPr>
              <w:t>7</w:t>
            </w:r>
            <w:r w:rsidR="002642C6">
              <w:rPr>
                <w:noProof/>
                <w:webHidden/>
              </w:rPr>
              <w:fldChar w:fldCharType="end"/>
            </w:r>
          </w:hyperlink>
        </w:p>
        <w:p w:rsidR="002642C6" w:rsidRDefault="00AB7085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31055049" w:history="1">
            <w:r w:rsidR="002642C6" w:rsidRPr="007D0346">
              <w:rPr>
                <w:rStyle w:val="Hypertextovodkaz"/>
              </w:rPr>
              <w:t>4 Závazné ukazatele rozpočtu města Benešov nad Ploučnicí na rok 2020</w:t>
            </w:r>
            <w:r w:rsidR="002642C6">
              <w:rPr>
                <w:webHidden/>
              </w:rPr>
              <w:tab/>
            </w:r>
            <w:r w:rsidR="002642C6">
              <w:rPr>
                <w:webHidden/>
              </w:rPr>
              <w:fldChar w:fldCharType="begin"/>
            </w:r>
            <w:r w:rsidR="002642C6">
              <w:rPr>
                <w:webHidden/>
              </w:rPr>
              <w:instrText xml:space="preserve"> PAGEREF _Toc31055049 \h </w:instrText>
            </w:r>
            <w:r w:rsidR="002642C6">
              <w:rPr>
                <w:webHidden/>
              </w:rPr>
            </w:r>
            <w:r w:rsidR="002642C6"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8</w:t>
            </w:r>
            <w:r w:rsidR="002642C6"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31055050" w:history="1">
            <w:r w:rsidR="002642C6" w:rsidRPr="007D0346">
              <w:rPr>
                <w:rStyle w:val="Hypertextovodkaz"/>
              </w:rPr>
              <w:t>5 Změny rozpočtu / rozpisu rozpočtu města Benešov nad Ploučnicí v roce 2020</w:t>
            </w:r>
            <w:r w:rsidR="002642C6">
              <w:rPr>
                <w:webHidden/>
              </w:rPr>
              <w:tab/>
            </w:r>
            <w:r w:rsidR="002642C6">
              <w:rPr>
                <w:webHidden/>
              </w:rPr>
              <w:fldChar w:fldCharType="begin"/>
            </w:r>
            <w:r w:rsidR="002642C6">
              <w:rPr>
                <w:webHidden/>
              </w:rPr>
              <w:instrText xml:space="preserve"> PAGEREF _Toc31055050 \h </w:instrText>
            </w:r>
            <w:r w:rsidR="002642C6">
              <w:rPr>
                <w:webHidden/>
              </w:rPr>
            </w:r>
            <w:r w:rsidR="002642C6"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8</w:t>
            </w:r>
            <w:r w:rsidR="002642C6"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31055051" w:history="1">
            <w:r w:rsidR="002642C6" w:rsidRPr="007D0346">
              <w:rPr>
                <w:rStyle w:val="Hypertextovodkaz"/>
              </w:rPr>
              <w:t>6 Závěr a možnost uplatnění připomínek</w:t>
            </w:r>
            <w:r w:rsidR="002642C6">
              <w:rPr>
                <w:webHidden/>
              </w:rPr>
              <w:tab/>
            </w:r>
            <w:r w:rsidR="002642C6">
              <w:rPr>
                <w:webHidden/>
              </w:rPr>
              <w:fldChar w:fldCharType="begin"/>
            </w:r>
            <w:r w:rsidR="002642C6">
              <w:rPr>
                <w:webHidden/>
              </w:rPr>
              <w:instrText xml:space="preserve"> PAGEREF _Toc31055051 \h </w:instrText>
            </w:r>
            <w:r w:rsidR="002642C6">
              <w:rPr>
                <w:webHidden/>
              </w:rPr>
            </w:r>
            <w:r w:rsidR="002642C6"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9</w:t>
            </w:r>
            <w:r w:rsidR="002642C6"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31055054" w:history="1">
            <w:r w:rsidR="002642C6">
              <w:rPr>
                <w:rStyle w:val="Hypertextovodkaz"/>
              </w:rPr>
              <w:t xml:space="preserve">7 </w:t>
            </w:r>
            <w:r w:rsidR="002642C6" w:rsidRPr="007D0346">
              <w:rPr>
                <w:rStyle w:val="Hypertextovodkaz"/>
              </w:rPr>
              <w:t>Rozpočet na rok 2020</w:t>
            </w:r>
            <w:r w:rsidR="002642C6">
              <w:rPr>
                <w:webHidden/>
              </w:rPr>
              <w:tab/>
            </w:r>
            <w:r w:rsidR="002642C6">
              <w:rPr>
                <w:webHidden/>
              </w:rPr>
              <w:fldChar w:fldCharType="begin"/>
            </w:r>
            <w:r w:rsidR="002642C6">
              <w:rPr>
                <w:webHidden/>
              </w:rPr>
              <w:instrText xml:space="preserve"> PAGEREF _Toc31055054 \h </w:instrText>
            </w:r>
            <w:r w:rsidR="002642C6">
              <w:rPr>
                <w:webHidden/>
              </w:rPr>
            </w:r>
            <w:r w:rsidR="002642C6"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10</w:t>
            </w:r>
            <w:r w:rsidR="002642C6"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1"/>
            <w:rPr>
              <w:rFonts w:eastAsiaTheme="minorEastAsia"/>
              <w:b w:val="0"/>
              <w:bCs w:val="0"/>
              <w:lang w:eastAsia="cs-CZ"/>
            </w:rPr>
          </w:pPr>
          <w:hyperlink w:anchor="_Toc31055056" w:history="1">
            <w:r w:rsidR="002642C6" w:rsidRPr="007D0346">
              <w:rPr>
                <w:rStyle w:val="Hypertextovodkaz"/>
              </w:rPr>
              <w:t>8 Přílohy</w:t>
            </w:r>
            <w:r w:rsidR="002642C6">
              <w:rPr>
                <w:webHidden/>
              </w:rPr>
              <w:tab/>
            </w:r>
            <w:r w:rsidR="002642C6">
              <w:rPr>
                <w:webHidden/>
              </w:rPr>
              <w:fldChar w:fldCharType="begin"/>
            </w:r>
            <w:r w:rsidR="002642C6">
              <w:rPr>
                <w:webHidden/>
              </w:rPr>
              <w:instrText xml:space="preserve"> PAGEREF _Toc31055056 \h </w:instrText>
            </w:r>
            <w:r w:rsidR="002642C6">
              <w:rPr>
                <w:webHidden/>
              </w:rPr>
            </w:r>
            <w:r w:rsidR="002642C6">
              <w:rPr>
                <w:webHidden/>
              </w:rPr>
              <w:fldChar w:fldCharType="separate"/>
            </w:r>
            <w:r w:rsidR="003874EF">
              <w:rPr>
                <w:webHidden/>
              </w:rPr>
              <w:t>12</w:t>
            </w:r>
            <w:r w:rsidR="002642C6">
              <w:rPr>
                <w:webHidden/>
              </w:rPr>
              <w:fldChar w:fldCharType="end"/>
            </w:r>
          </w:hyperlink>
        </w:p>
        <w:p w:rsidR="002642C6" w:rsidRDefault="00AB7085">
          <w:pPr>
            <w:pStyle w:val="Obsah3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cs-CZ"/>
            </w:rPr>
          </w:pPr>
          <w:hyperlink w:anchor="_Toc31055057" w:history="1">
            <w:r w:rsidR="002642C6" w:rsidRPr="007D0346">
              <w:rPr>
                <w:rStyle w:val="Hypertextovodkaz"/>
                <w:rFonts w:ascii="Symbol" w:hAnsi="Symbol" w:cstheme="minorHAnsi"/>
                <w:noProof/>
              </w:rPr>
              <w:t></w:t>
            </w:r>
            <w:r w:rsidR="002642C6">
              <w:rPr>
                <w:rFonts w:eastAsiaTheme="minorEastAsia"/>
                <w:noProof/>
                <w:lang w:eastAsia="cs-CZ"/>
              </w:rPr>
              <w:tab/>
            </w:r>
            <w:r w:rsidR="002642C6" w:rsidRPr="007D0346">
              <w:rPr>
                <w:rStyle w:val="Hypertextovodkaz"/>
                <w:rFonts w:cstheme="minorHAnsi"/>
                <w:noProof/>
              </w:rPr>
              <w:t>Žádost o poskytnutí dotace – Rodinné centrum Medvídek Benešov n.Pl.</w:t>
            </w:r>
            <w:r w:rsidR="002642C6">
              <w:rPr>
                <w:noProof/>
                <w:webHidden/>
              </w:rPr>
              <w:tab/>
            </w:r>
            <w:r w:rsidR="002642C6">
              <w:rPr>
                <w:noProof/>
                <w:webHidden/>
              </w:rPr>
              <w:fldChar w:fldCharType="begin"/>
            </w:r>
            <w:r w:rsidR="002642C6">
              <w:rPr>
                <w:noProof/>
                <w:webHidden/>
              </w:rPr>
              <w:instrText xml:space="preserve"> PAGEREF _Toc31055057 \h </w:instrText>
            </w:r>
            <w:r w:rsidR="002642C6">
              <w:rPr>
                <w:noProof/>
                <w:webHidden/>
              </w:rPr>
            </w:r>
            <w:r w:rsidR="002642C6">
              <w:rPr>
                <w:noProof/>
                <w:webHidden/>
              </w:rPr>
              <w:fldChar w:fldCharType="separate"/>
            </w:r>
            <w:r w:rsidR="003874EF">
              <w:rPr>
                <w:noProof/>
                <w:webHidden/>
              </w:rPr>
              <w:t>12</w:t>
            </w:r>
            <w:r w:rsidR="002642C6">
              <w:rPr>
                <w:noProof/>
                <w:webHidden/>
              </w:rPr>
              <w:fldChar w:fldCharType="end"/>
            </w:r>
          </w:hyperlink>
        </w:p>
        <w:p w:rsidR="002642C6" w:rsidRDefault="00AB7085">
          <w:pPr>
            <w:pStyle w:val="Obsah3"/>
            <w:tabs>
              <w:tab w:val="left" w:pos="880"/>
              <w:tab w:val="right" w:leader="dot" w:pos="10762"/>
            </w:tabs>
            <w:rPr>
              <w:rFonts w:eastAsiaTheme="minorEastAsia"/>
              <w:noProof/>
              <w:lang w:eastAsia="cs-CZ"/>
            </w:rPr>
          </w:pPr>
          <w:hyperlink w:anchor="_Toc31055058" w:history="1">
            <w:r w:rsidR="002642C6" w:rsidRPr="007D0346">
              <w:rPr>
                <w:rStyle w:val="Hypertextovodkaz"/>
                <w:rFonts w:ascii="Symbol" w:hAnsi="Symbol" w:cstheme="minorHAnsi"/>
                <w:noProof/>
              </w:rPr>
              <w:t></w:t>
            </w:r>
            <w:r w:rsidR="002642C6">
              <w:rPr>
                <w:rFonts w:eastAsiaTheme="minorEastAsia"/>
                <w:noProof/>
                <w:lang w:eastAsia="cs-CZ"/>
              </w:rPr>
              <w:tab/>
            </w:r>
            <w:r w:rsidR="002642C6" w:rsidRPr="007D0346">
              <w:rPr>
                <w:rStyle w:val="Hypertextovodkaz"/>
                <w:rFonts w:cstheme="minorHAnsi"/>
                <w:noProof/>
              </w:rPr>
              <w:t>Žádost o poskytnutí dotace – Městský sportovní klub Benešov n. Pl.</w:t>
            </w:r>
            <w:r w:rsidR="002642C6">
              <w:rPr>
                <w:noProof/>
                <w:webHidden/>
              </w:rPr>
              <w:tab/>
            </w:r>
            <w:r w:rsidR="002642C6">
              <w:rPr>
                <w:noProof/>
                <w:webHidden/>
              </w:rPr>
              <w:fldChar w:fldCharType="begin"/>
            </w:r>
            <w:r w:rsidR="002642C6">
              <w:rPr>
                <w:noProof/>
                <w:webHidden/>
              </w:rPr>
              <w:instrText xml:space="preserve"> PAGEREF _Toc31055058 \h </w:instrText>
            </w:r>
            <w:r w:rsidR="002642C6">
              <w:rPr>
                <w:noProof/>
                <w:webHidden/>
              </w:rPr>
            </w:r>
            <w:r w:rsidR="002642C6">
              <w:rPr>
                <w:noProof/>
                <w:webHidden/>
              </w:rPr>
              <w:fldChar w:fldCharType="separate"/>
            </w:r>
            <w:r w:rsidR="003874EF">
              <w:rPr>
                <w:noProof/>
                <w:webHidden/>
              </w:rPr>
              <w:t>12</w:t>
            </w:r>
            <w:r w:rsidR="002642C6">
              <w:rPr>
                <w:noProof/>
                <w:webHidden/>
              </w:rPr>
              <w:fldChar w:fldCharType="end"/>
            </w:r>
          </w:hyperlink>
        </w:p>
        <w:p w:rsidR="002642C6" w:rsidRDefault="002642C6">
          <w:r>
            <w:rPr>
              <w:b/>
              <w:bCs/>
            </w:rPr>
            <w:fldChar w:fldCharType="end"/>
          </w:r>
        </w:p>
      </w:sdtContent>
    </w:sdt>
    <w:p w:rsidR="00FB0131" w:rsidRDefault="00FB0131" w:rsidP="009E16A8">
      <w:pPr>
        <w:pStyle w:val="Bezmezer"/>
      </w:pPr>
    </w:p>
    <w:p w:rsidR="009E16A8" w:rsidRDefault="009E16A8" w:rsidP="009E16A8">
      <w:pPr>
        <w:pStyle w:val="Bezmezer"/>
      </w:pPr>
      <w:r>
        <w:br w:type="page"/>
      </w:r>
    </w:p>
    <w:p w:rsidR="00403981" w:rsidRDefault="00403981" w:rsidP="00AA37B3">
      <w:pPr>
        <w:pStyle w:val="Nadpis1"/>
      </w:pPr>
    </w:p>
    <w:p w:rsidR="00101418" w:rsidRPr="00AA37B3" w:rsidRDefault="00AA37B3" w:rsidP="00AA37B3">
      <w:pPr>
        <w:pStyle w:val="Nadpis1"/>
      </w:pPr>
      <w:bookmarkStart w:id="10" w:name="_Toc31055037"/>
      <w:r>
        <w:t xml:space="preserve">1 </w:t>
      </w:r>
      <w:r w:rsidR="00101418" w:rsidRPr="00AA37B3">
        <w:t>Prameny rozpočtového práva</w:t>
      </w:r>
      <w:bookmarkEnd w:id="10"/>
    </w:p>
    <w:p w:rsidR="00101418" w:rsidRPr="00136135" w:rsidRDefault="00101418" w:rsidP="00101418"/>
    <w:p w:rsidR="00101418" w:rsidRPr="00101418" w:rsidRDefault="00101418" w:rsidP="00B81152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01418">
        <w:rPr>
          <w:rFonts w:cstheme="minorHAnsi"/>
          <w:b/>
        </w:rPr>
        <w:t>Ústava</w:t>
      </w:r>
      <w:r w:rsidRPr="00101418">
        <w:rPr>
          <w:rFonts w:cstheme="minorHAnsi"/>
        </w:rPr>
        <w:t>, Čl. 101, odst. (3) ÚSC jsou veřejnoprávními korporacemi, které mohou mít vlastní majetek a hospodaří podle svého rozpočtu</w:t>
      </w:r>
    </w:p>
    <w:p w:rsidR="00101418" w:rsidRPr="00101418" w:rsidRDefault="00101418" w:rsidP="00101418">
      <w:pPr>
        <w:pStyle w:val="Odstavecseseznamem"/>
        <w:jc w:val="both"/>
        <w:rPr>
          <w:rFonts w:cstheme="minorHAnsi"/>
        </w:rPr>
      </w:pPr>
    </w:p>
    <w:p w:rsidR="00101418" w:rsidRPr="00101418" w:rsidRDefault="00101418" w:rsidP="00B81152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101418">
        <w:rPr>
          <w:rFonts w:cstheme="minorHAnsi"/>
          <w:b/>
        </w:rPr>
        <w:t>Zákony</w:t>
      </w:r>
    </w:p>
    <w:p w:rsidR="00101418" w:rsidRPr="00101418" w:rsidRDefault="00101418" w:rsidP="00B8115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101418">
        <w:rPr>
          <w:rFonts w:cstheme="minorHAnsi"/>
        </w:rPr>
        <w:t>218/2000 Sb. o rozpočtových pravidlech a změně některých souvisejících zákonů – tzv. velká rozpočtová pravidla</w:t>
      </w:r>
    </w:p>
    <w:p w:rsidR="00101418" w:rsidRPr="00101418" w:rsidRDefault="00101418" w:rsidP="00B8115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101418">
        <w:rPr>
          <w:rFonts w:cstheme="minorHAnsi"/>
        </w:rPr>
        <w:t>250/2000 Sb. o rozpočtových pravidlech územních rozpočtů – malá rozpočtová pravidla</w:t>
      </w:r>
    </w:p>
    <w:p w:rsidR="00101418" w:rsidRPr="00101418" w:rsidRDefault="00101418" w:rsidP="00B8115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101418">
        <w:rPr>
          <w:rFonts w:cstheme="minorHAnsi"/>
        </w:rPr>
        <w:t>243/2000 Sb. o rozpočtovém určení daní (dále jen RUD)</w:t>
      </w:r>
    </w:p>
    <w:p w:rsidR="00101418" w:rsidRPr="00101418" w:rsidRDefault="00101418" w:rsidP="00B8115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101418">
        <w:rPr>
          <w:rFonts w:cstheme="minorHAnsi"/>
        </w:rPr>
        <w:t xml:space="preserve">Zákon o státním rozpočtu na příslušný rok </w:t>
      </w:r>
    </w:p>
    <w:p w:rsidR="00101418" w:rsidRPr="00101418" w:rsidRDefault="00101418" w:rsidP="00B81152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101418">
        <w:rPr>
          <w:rFonts w:cstheme="minorHAnsi"/>
        </w:rPr>
        <w:t>219/2000 Sb. o majetku ČR</w:t>
      </w:r>
    </w:p>
    <w:p w:rsidR="00101418" w:rsidRPr="00101418" w:rsidRDefault="00101418" w:rsidP="00101418">
      <w:pPr>
        <w:pStyle w:val="Odstavecseseznamem"/>
        <w:ind w:left="1440"/>
        <w:jc w:val="both"/>
        <w:rPr>
          <w:rFonts w:cstheme="minorHAnsi"/>
        </w:rPr>
      </w:pPr>
    </w:p>
    <w:p w:rsidR="00101418" w:rsidRPr="00101418" w:rsidRDefault="00101418" w:rsidP="00B81152">
      <w:pPr>
        <w:pStyle w:val="Odstavecseseznamem"/>
        <w:numPr>
          <w:ilvl w:val="0"/>
          <w:numId w:val="3"/>
        </w:numPr>
        <w:jc w:val="both"/>
        <w:rPr>
          <w:rFonts w:cstheme="minorHAnsi"/>
          <w:b/>
        </w:rPr>
      </w:pPr>
      <w:r w:rsidRPr="00101418">
        <w:rPr>
          <w:rFonts w:cstheme="minorHAnsi"/>
          <w:b/>
        </w:rPr>
        <w:t>Vyhlášky</w:t>
      </w:r>
    </w:p>
    <w:p w:rsidR="00101418" w:rsidRPr="00101418" w:rsidRDefault="00101418" w:rsidP="00B81152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101418">
        <w:rPr>
          <w:rFonts w:cstheme="minorHAnsi"/>
        </w:rPr>
        <w:t>k provedení zákonů o rozpočtových fondech</w:t>
      </w:r>
    </w:p>
    <w:p w:rsidR="00101418" w:rsidRPr="00101418" w:rsidRDefault="00101418" w:rsidP="00B81152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101418">
        <w:rPr>
          <w:rFonts w:cstheme="minorHAnsi"/>
        </w:rPr>
        <w:t>323/2002 Sb. o rozpočtové skladby, ve znění pozdějších předpisů.</w:t>
      </w:r>
    </w:p>
    <w:p w:rsidR="00101418" w:rsidRPr="00101418" w:rsidRDefault="00101418" w:rsidP="00101418">
      <w:pPr>
        <w:pStyle w:val="Odstavecseseznamem"/>
        <w:ind w:left="1440"/>
        <w:jc w:val="both"/>
        <w:rPr>
          <w:rFonts w:cstheme="minorHAnsi"/>
        </w:rPr>
      </w:pPr>
    </w:p>
    <w:p w:rsidR="00101418" w:rsidRPr="00101418" w:rsidRDefault="00403981" w:rsidP="00101418">
      <w:pPr>
        <w:pStyle w:val="Nadpis1"/>
      </w:pPr>
      <w:bookmarkStart w:id="11" w:name="_Toc31055038"/>
      <w:r>
        <w:t>2</w:t>
      </w:r>
      <w:r w:rsidR="00101418" w:rsidRPr="00101418">
        <w:t xml:space="preserve"> Rekapitulace hlavních změn za poslední roky</w:t>
      </w:r>
      <w:bookmarkEnd w:id="11"/>
    </w:p>
    <w:p w:rsidR="00101418" w:rsidRPr="00101418" w:rsidRDefault="00101418" w:rsidP="00101418">
      <w:pPr>
        <w:spacing w:after="120"/>
        <w:jc w:val="both"/>
        <w:rPr>
          <w:rFonts w:cstheme="minorHAnsi"/>
          <w:b/>
        </w:rPr>
      </w:pPr>
      <w:r w:rsidRPr="00101418">
        <w:rPr>
          <w:rFonts w:cstheme="minorHAnsi"/>
          <w:b/>
        </w:rPr>
        <w:t xml:space="preserve"> </w:t>
      </w:r>
    </w:p>
    <w:p w:rsidR="00101418" w:rsidRPr="00101418" w:rsidRDefault="00101418" w:rsidP="00B81152">
      <w:pPr>
        <w:pStyle w:val="Odstavecseseznamem"/>
        <w:numPr>
          <w:ilvl w:val="0"/>
          <w:numId w:val="5"/>
        </w:numPr>
        <w:autoSpaceDN w:val="0"/>
        <w:spacing w:after="0"/>
        <w:jc w:val="both"/>
        <w:textAlignment w:val="baseline"/>
        <w:rPr>
          <w:rFonts w:cstheme="minorHAnsi"/>
        </w:rPr>
      </w:pPr>
      <w:r w:rsidRPr="00101418">
        <w:rPr>
          <w:rFonts w:cstheme="minorHAnsi"/>
        </w:rPr>
        <w:t xml:space="preserve">2017 zákon č. 23/2017 Sb., o pravidlech rozpočtové odpovědnosti </w:t>
      </w:r>
    </w:p>
    <w:p w:rsidR="00101418" w:rsidRPr="00101418" w:rsidRDefault="00101418" w:rsidP="00B81152">
      <w:pPr>
        <w:pStyle w:val="Odstavecseseznamem"/>
        <w:numPr>
          <w:ilvl w:val="0"/>
          <w:numId w:val="5"/>
        </w:numPr>
        <w:autoSpaceDN w:val="0"/>
        <w:spacing w:after="120"/>
        <w:jc w:val="both"/>
        <w:textAlignment w:val="baseline"/>
        <w:rPr>
          <w:rFonts w:cstheme="minorHAnsi"/>
          <w:b/>
        </w:rPr>
      </w:pPr>
      <w:r w:rsidRPr="00101418">
        <w:rPr>
          <w:rFonts w:cstheme="minorHAnsi"/>
        </w:rPr>
        <w:t>2017 zákon č. 24/2017 Sb., kterým se mění některé zákony v souvislosti s přijetím právní úpravy rozpočtové odpovědnosti – jedná se o změnu cca 20 zákonů, pro nás je velmi zásadní mj. změna zákona č. 250/2000 Sb., o rozpočtových pravidlech územních rozpočtů</w:t>
      </w:r>
    </w:p>
    <w:p w:rsidR="00101418" w:rsidRPr="00101418" w:rsidRDefault="00101418" w:rsidP="00B81152">
      <w:pPr>
        <w:pStyle w:val="Odstavecseseznamem"/>
        <w:numPr>
          <w:ilvl w:val="0"/>
          <w:numId w:val="5"/>
        </w:numPr>
        <w:autoSpaceDN w:val="0"/>
        <w:spacing w:after="0"/>
        <w:jc w:val="both"/>
        <w:textAlignment w:val="baseline"/>
        <w:rPr>
          <w:rFonts w:cstheme="minorHAnsi"/>
        </w:rPr>
      </w:pPr>
      <w:r w:rsidRPr="00101418">
        <w:rPr>
          <w:rFonts w:cstheme="minorHAnsi"/>
        </w:rPr>
        <w:t>2017 novela RUD (30 % DPFOP odejmuto a nahrazeno zvýšením podílu obcí na DPH z 20,83 %na 21,4 %).</w:t>
      </w:r>
    </w:p>
    <w:p w:rsidR="00101418" w:rsidRPr="00101418" w:rsidRDefault="00101418" w:rsidP="00B81152">
      <w:pPr>
        <w:pStyle w:val="Odstavecseseznamem"/>
        <w:numPr>
          <w:ilvl w:val="0"/>
          <w:numId w:val="5"/>
        </w:numPr>
        <w:spacing w:after="120"/>
        <w:jc w:val="both"/>
        <w:rPr>
          <w:rFonts w:cstheme="minorHAnsi"/>
          <w:b/>
        </w:rPr>
      </w:pPr>
      <w:r w:rsidRPr="00101418">
        <w:rPr>
          <w:rFonts w:cstheme="minorHAnsi"/>
        </w:rPr>
        <w:t>2018 novela RUD (zvýšení podílu obcí na DPH z 21,4 % na 23,58 % a posíleno kritérium počtu žáků ze 7 % na  9 %</w:t>
      </w:r>
    </w:p>
    <w:p w:rsidR="00101418" w:rsidRPr="00101418" w:rsidRDefault="00101418" w:rsidP="00101418">
      <w:pPr>
        <w:pStyle w:val="Odstavecseseznamem"/>
        <w:rPr>
          <w:rFonts w:cstheme="minorHAnsi"/>
          <w:b/>
        </w:rPr>
      </w:pPr>
    </w:p>
    <w:p w:rsidR="00101418" w:rsidRPr="00101418" w:rsidRDefault="00101418" w:rsidP="00101418">
      <w:pPr>
        <w:jc w:val="both"/>
        <w:rPr>
          <w:rFonts w:cstheme="minorHAnsi"/>
          <w:b/>
        </w:rPr>
      </w:pPr>
      <w:r w:rsidRPr="00101418">
        <w:rPr>
          <w:rFonts w:cstheme="minorHAnsi"/>
          <w:b/>
        </w:rPr>
        <w:t xml:space="preserve">Hlavní změny zavedené novelou zákona č. 250/2000 Sb.: </w:t>
      </w:r>
    </w:p>
    <w:p w:rsidR="00101418" w:rsidRPr="00101418" w:rsidRDefault="00101418" w:rsidP="00B81152">
      <w:pPr>
        <w:pStyle w:val="Odstavecseseznamem"/>
        <w:numPr>
          <w:ilvl w:val="0"/>
          <w:numId w:val="17"/>
        </w:numPr>
        <w:autoSpaceDN w:val="0"/>
        <w:spacing w:after="0"/>
        <w:jc w:val="both"/>
        <w:textAlignment w:val="baseline"/>
        <w:rPr>
          <w:rFonts w:cstheme="minorHAnsi"/>
          <w:b/>
        </w:rPr>
      </w:pPr>
      <w:r w:rsidRPr="00101418">
        <w:rPr>
          <w:rFonts w:cstheme="minorHAnsi"/>
        </w:rPr>
        <w:t>Nahrazení rozpočtového výhledu „střednědobým výhledem rozpočtu“.</w:t>
      </w:r>
    </w:p>
    <w:p w:rsidR="00101418" w:rsidRPr="00101418" w:rsidRDefault="00101418" w:rsidP="00B81152">
      <w:pPr>
        <w:pStyle w:val="Odstavecseseznamem"/>
        <w:numPr>
          <w:ilvl w:val="0"/>
          <w:numId w:val="17"/>
        </w:numPr>
        <w:autoSpaceDN w:val="0"/>
        <w:spacing w:after="0"/>
        <w:jc w:val="both"/>
        <w:textAlignment w:val="baseline"/>
        <w:rPr>
          <w:rFonts w:cstheme="minorHAnsi"/>
          <w:b/>
        </w:rPr>
      </w:pPr>
      <w:r w:rsidRPr="00101418">
        <w:rPr>
          <w:rFonts w:cstheme="minorHAnsi"/>
        </w:rPr>
        <w:t xml:space="preserve">Nové </w:t>
      </w:r>
      <w:proofErr w:type="spellStart"/>
      <w:r w:rsidRPr="00101418">
        <w:rPr>
          <w:rFonts w:cstheme="minorHAnsi"/>
        </w:rPr>
        <w:t>zveřejňovací</w:t>
      </w:r>
      <w:proofErr w:type="spellEnd"/>
      <w:r w:rsidRPr="00101418">
        <w:rPr>
          <w:rFonts w:cstheme="minorHAnsi"/>
        </w:rPr>
        <w:t xml:space="preserve"> povinnosti.</w:t>
      </w:r>
    </w:p>
    <w:p w:rsidR="00101418" w:rsidRPr="00101418" w:rsidRDefault="00101418" w:rsidP="00B81152">
      <w:pPr>
        <w:pStyle w:val="Odstavecseseznamem"/>
        <w:numPr>
          <w:ilvl w:val="0"/>
          <w:numId w:val="17"/>
        </w:numPr>
        <w:autoSpaceDN w:val="0"/>
        <w:spacing w:after="0"/>
        <w:jc w:val="both"/>
        <w:textAlignment w:val="baseline"/>
        <w:rPr>
          <w:rFonts w:cstheme="minorHAnsi"/>
          <w:b/>
        </w:rPr>
      </w:pPr>
      <w:r w:rsidRPr="00101418">
        <w:rPr>
          <w:rFonts w:cstheme="minorHAnsi"/>
        </w:rPr>
        <w:t xml:space="preserve">Rozšíření správních deliktů o nesplnění nových </w:t>
      </w:r>
      <w:proofErr w:type="spellStart"/>
      <w:r w:rsidRPr="00101418">
        <w:rPr>
          <w:rFonts w:cstheme="minorHAnsi"/>
        </w:rPr>
        <w:t>zveřejňovacích</w:t>
      </w:r>
      <w:proofErr w:type="spellEnd"/>
      <w:r w:rsidRPr="00101418">
        <w:rPr>
          <w:rFonts w:cstheme="minorHAnsi"/>
        </w:rPr>
        <w:t xml:space="preserve"> povinností. </w:t>
      </w:r>
    </w:p>
    <w:p w:rsidR="00101418" w:rsidRPr="00101418" w:rsidRDefault="00101418" w:rsidP="00B81152">
      <w:pPr>
        <w:pStyle w:val="Odstavecseseznamem"/>
        <w:numPr>
          <w:ilvl w:val="0"/>
          <w:numId w:val="17"/>
        </w:numPr>
        <w:autoSpaceDN w:val="0"/>
        <w:spacing w:after="0"/>
        <w:jc w:val="both"/>
        <w:textAlignment w:val="baseline"/>
        <w:rPr>
          <w:rFonts w:cstheme="minorHAnsi"/>
          <w:b/>
        </w:rPr>
      </w:pPr>
      <w:r w:rsidRPr="00101418">
        <w:rPr>
          <w:rFonts w:cstheme="minorHAnsi"/>
        </w:rPr>
        <w:t xml:space="preserve">Povinnost příspěvkové organizace sestavit rozpočet a střednědobý výhled rozpočtu (plány výnosů a nákladů) a povinnost zřizovatele tyto dokumenty schválit. </w:t>
      </w:r>
    </w:p>
    <w:p w:rsidR="00101418" w:rsidRPr="00101418" w:rsidRDefault="00101418" w:rsidP="00101418">
      <w:pPr>
        <w:jc w:val="both"/>
        <w:rPr>
          <w:rFonts w:cstheme="minorHAnsi"/>
          <w:b/>
        </w:rPr>
      </w:pPr>
    </w:p>
    <w:p w:rsidR="00101418" w:rsidRPr="00101418" w:rsidRDefault="00101418" w:rsidP="00101418">
      <w:pPr>
        <w:jc w:val="both"/>
        <w:rPr>
          <w:rFonts w:cstheme="minorHAnsi"/>
          <w:b/>
        </w:rPr>
      </w:pPr>
      <w:r w:rsidRPr="00101418">
        <w:rPr>
          <w:rFonts w:cstheme="minorHAnsi"/>
          <w:b/>
        </w:rPr>
        <w:t>Pilíře pravidel rozpočtové odpovědnosti zák. č. 23/2017 Sb.</w:t>
      </w:r>
    </w:p>
    <w:p w:rsidR="00101418" w:rsidRPr="00101418" w:rsidRDefault="00101418" w:rsidP="00B81152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101418">
        <w:rPr>
          <w:rFonts w:cstheme="minorHAnsi"/>
        </w:rPr>
        <w:t xml:space="preserve">výdajové pravidlo: MF ČR stanovuje částku růstu celkových výdajů veřejných institucí, viz § 10 </w:t>
      </w:r>
    </w:p>
    <w:p w:rsidR="00101418" w:rsidRPr="00101418" w:rsidRDefault="00101418" w:rsidP="00B81152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101418">
        <w:rPr>
          <w:rFonts w:cstheme="minorHAnsi"/>
        </w:rPr>
        <w:t>dluhová brzda § 14: aktivuje se, když dluh veřejných institucí přesáhne 55 % HDP, viz § 14, uplatní se od 1. dne 2. měsíce po dni vyhlášení</w:t>
      </w:r>
    </w:p>
    <w:p w:rsidR="00101418" w:rsidRPr="00101418" w:rsidRDefault="00101418" w:rsidP="00B81152">
      <w:pPr>
        <w:pStyle w:val="Odstavecseseznamem"/>
        <w:numPr>
          <w:ilvl w:val="0"/>
          <w:numId w:val="18"/>
        </w:numPr>
        <w:rPr>
          <w:rFonts w:cstheme="minorHAnsi"/>
        </w:rPr>
      </w:pPr>
      <w:r w:rsidRPr="00101418">
        <w:rPr>
          <w:rFonts w:cstheme="minorHAnsi"/>
        </w:rPr>
        <w:t>fiskální pravidlo § 17: ÚSC splácí 5% z rozdílu výše dluhu nad 60 % průměru příjmů za poslední 4 roky</w:t>
      </w:r>
    </w:p>
    <w:p w:rsidR="00101418" w:rsidRDefault="00101418" w:rsidP="00B81152">
      <w:pPr>
        <w:pStyle w:val="Odstavecseseznamem"/>
        <w:numPr>
          <w:ilvl w:val="0"/>
          <w:numId w:val="19"/>
        </w:numPr>
        <w:rPr>
          <w:rFonts w:cstheme="minorHAnsi"/>
        </w:rPr>
      </w:pPr>
      <w:r w:rsidRPr="00101418">
        <w:rPr>
          <w:rFonts w:cstheme="minorHAnsi"/>
        </w:rPr>
        <w:lastRenderedPageBreak/>
        <w:t>Zásady: veřejné instituce dbají o zdravé a udržitelné veřejné finance, transparentnost, účelnost, efektivita, hospodárnost</w:t>
      </w:r>
    </w:p>
    <w:p w:rsidR="00101418" w:rsidRDefault="00101418" w:rsidP="00A97FE9">
      <w:pPr>
        <w:pStyle w:val="Nadpis1"/>
      </w:pPr>
    </w:p>
    <w:p w:rsidR="009E16A8" w:rsidRDefault="00403981" w:rsidP="002642C6">
      <w:pPr>
        <w:pStyle w:val="Nadpis1"/>
      </w:pPr>
      <w:bookmarkStart w:id="12" w:name="_Toc31055039"/>
      <w:bookmarkStart w:id="13" w:name="_Toc499483299"/>
      <w:r>
        <w:t>3</w:t>
      </w:r>
      <w:r w:rsidR="009E16A8" w:rsidRPr="00A97FE9">
        <w:t xml:space="preserve"> Rozpočet města</w:t>
      </w:r>
      <w:bookmarkEnd w:id="12"/>
      <w:r w:rsidR="009E16A8" w:rsidRPr="00A97FE9">
        <w:t xml:space="preserve"> </w:t>
      </w:r>
      <w:bookmarkEnd w:id="13"/>
      <w:r w:rsidR="00E25B18">
        <w:t xml:space="preserve"> </w:t>
      </w:r>
    </w:p>
    <w:p w:rsidR="007F5C28" w:rsidRDefault="007F5C28" w:rsidP="007F5C28"/>
    <w:p w:rsidR="007F5C28" w:rsidRPr="007F5C28" w:rsidRDefault="007F5C28" w:rsidP="007F5C28">
      <w:pPr>
        <w:ind w:firstLine="708"/>
        <w:jc w:val="both"/>
        <w:rPr>
          <w:rFonts w:cstheme="minorHAnsi"/>
        </w:rPr>
      </w:pPr>
      <w:r w:rsidRPr="007F5C28">
        <w:rPr>
          <w:rFonts w:cstheme="minorHAnsi"/>
        </w:rPr>
        <w:t>Rozpočet se člení podle rozpočtové skladby – na příjmy a výdaje. Příjmy rozlišujeme daňové, nedaňové, kapitálové a přijaté dotace. Výdaje členíme na běžné a kapitálové. Zvláštní kapitolu rozpočtové skladby tvoří financování.</w:t>
      </w:r>
    </w:p>
    <w:p w:rsidR="00E25B18" w:rsidRPr="00101418" w:rsidRDefault="00E25B18" w:rsidP="00E25B18">
      <w:pPr>
        <w:spacing w:line="240" w:lineRule="auto"/>
        <w:rPr>
          <w:rFonts w:cstheme="minorHAnsi"/>
        </w:rPr>
      </w:pPr>
      <w:r w:rsidRPr="00101418">
        <w:rPr>
          <w:rFonts w:cstheme="minorHAnsi"/>
        </w:rPr>
        <w:t>Při sestavování rozpočtu na rok 2019 jsme vycházeli ze zákonných předpisů, které jsou platné v současné době:</w:t>
      </w:r>
    </w:p>
    <w:p w:rsidR="00E25B18" w:rsidRPr="00101418" w:rsidRDefault="00E25B18" w:rsidP="00B8115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101418">
        <w:rPr>
          <w:rFonts w:cstheme="minorHAnsi"/>
        </w:rPr>
        <w:t>Zákon 250/2000 Sb. o rozpočtových pravidlech územních rozpočtů</w:t>
      </w:r>
    </w:p>
    <w:p w:rsidR="00E25B18" w:rsidRPr="00101418" w:rsidRDefault="00E25B18" w:rsidP="00B8115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101418">
        <w:rPr>
          <w:rFonts w:cstheme="minorHAnsi"/>
        </w:rPr>
        <w:t>Zákon 128/2000 Sb. o obcích</w:t>
      </w:r>
    </w:p>
    <w:p w:rsidR="00E25B18" w:rsidRPr="00101418" w:rsidRDefault="00E25B18" w:rsidP="00B8115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101418">
        <w:rPr>
          <w:rFonts w:cstheme="minorHAnsi"/>
        </w:rPr>
        <w:t>Zákon 243/2000 Sb. o rozpočtovém určení daní</w:t>
      </w:r>
    </w:p>
    <w:p w:rsidR="00ED5BBD" w:rsidRPr="00101418" w:rsidRDefault="00ED5BBD" w:rsidP="00B81152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cstheme="minorHAnsi"/>
        </w:rPr>
      </w:pPr>
      <w:r w:rsidRPr="00101418">
        <w:rPr>
          <w:rFonts w:cstheme="minorHAnsi"/>
        </w:rPr>
        <w:t>Vyhláška MF č. 323/2002 Sb., o rozpočtové skladbě, ve znění pozdějších předpisů.</w:t>
      </w:r>
    </w:p>
    <w:p w:rsidR="00367578" w:rsidRDefault="00367578" w:rsidP="00E25B18">
      <w:pPr>
        <w:spacing w:line="240" w:lineRule="auto"/>
        <w:jc w:val="both"/>
      </w:pPr>
    </w:p>
    <w:p w:rsidR="00E25B18" w:rsidRDefault="00E25B18" w:rsidP="00E25B18">
      <w:pPr>
        <w:spacing w:line="240" w:lineRule="auto"/>
        <w:jc w:val="both"/>
      </w:pPr>
      <w:r>
        <w:t>Předpoklady zohledněné při sestavování rozpočtu:</w:t>
      </w:r>
    </w:p>
    <w:p w:rsidR="00E25B18" w:rsidRDefault="00E25B18" w:rsidP="00B81152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příjmová a výdajová část (běžná) rozpočtu se bude v následujících letech vyvíjet zhruba ve stejném objemu, ovlivněném pouze inflací</w:t>
      </w:r>
    </w:p>
    <w:p w:rsidR="00E25B18" w:rsidRDefault="00E25B18" w:rsidP="00B81152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t>nedojde k novele zákona o rozpočtovém určení daní</w:t>
      </w:r>
    </w:p>
    <w:p w:rsidR="00EF0E36" w:rsidRDefault="00EF0E36" w:rsidP="00EF0E36">
      <w:pPr>
        <w:spacing w:line="240" w:lineRule="auto"/>
        <w:jc w:val="both"/>
      </w:pPr>
      <w:r>
        <w:t>Pro zpracování návrhu rozpočtu na rok 20</w:t>
      </w:r>
      <w:r w:rsidR="00AA37B3">
        <w:t>20</w:t>
      </w:r>
      <w:r>
        <w:t xml:space="preserve"> byly použity především tyto podklady: </w:t>
      </w:r>
    </w:p>
    <w:p w:rsidR="00EF0E36" w:rsidRDefault="00EF0E36" w:rsidP="00B81152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podklady od vedoucích odborů Městského úřadu Benešov nad Ploučnicí</w:t>
      </w:r>
    </w:p>
    <w:p w:rsidR="00EF0E36" w:rsidRDefault="00EF0E36" w:rsidP="00B81152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podklady od ředitelů / ředitelek příspěvkových organizací, aktualizace těchto podkladů a jejich vyhodnocení</w:t>
      </w:r>
    </w:p>
    <w:p w:rsidR="00EF0E36" w:rsidRDefault="00EF0E36" w:rsidP="00B81152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rozpočet města na rok 201</w:t>
      </w:r>
      <w:r w:rsidR="00A35743">
        <w:t>9</w:t>
      </w:r>
    </w:p>
    <w:p w:rsidR="00EF0E36" w:rsidRDefault="00EF0E36" w:rsidP="00B81152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vyhodnocení skutečnosti plnění rozpočtu roku 201</w:t>
      </w:r>
      <w:r w:rsidR="00AA37B3">
        <w:t>9</w:t>
      </w:r>
    </w:p>
    <w:p w:rsidR="00EF0E36" w:rsidRDefault="00EF0E36" w:rsidP="00B81152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střednědobý výhled rozpočtu města Benešova n.</w:t>
      </w:r>
      <w:r w:rsidR="00CC0254">
        <w:t xml:space="preserve"> </w:t>
      </w:r>
      <w:proofErr w:type="spellStart"/>
      <w:r>
        <w:t>Pl</w:t>
      </w:r>
      <w:proofErr w:type="spellEnd"/>
      <w:r>
        <w:t>. na roky 20</w:t>
      </w:r>
      <w:r w:rsidR="00AA37B3">
        <w:t>21 – 2022</w:t>
      </w:r>
      <w:r>
        <w:t xml:space="preserve"> (dále jen „výhled“), </w:t>
      </w:r>
    </w:p>
    <w:p w:rsidR="00EF0E36" w:rsidRDefault="00EF0E36" w:rsidP="00B81152">
      <w:pPr>
        <w:pStyle w:val="Odstavecseseznamem"/>
        <w:numPr>
          <w:ilvl w:val="0"/>
          <w:numId w:val="15"/>
        </w:numPr>
        <w:spacing w:line="240" w:lineRule="auto"/>
        <w:jc w:val="both"/>
      </w:pPr>
      <w:r>
        <w:t>doporučení Finančního výboru Zastupitelstva města Benešov nad Ploučnicí a výsledky projednávání podkladů pro sestavení rozpočtu.</w:t>
      </w:r>
    </w:p>
    <w:p w:rsidR="00E25B18" w:rsidRDefault="00E25B18" w:rsidP="00E25B18">
      <w:pPr>
        <w:pStyle w:val="Odstavecseseznamem"/>
        <w:spacing w:line="240" w:lineRule="auto"/>
        <w:jc w:val="both"/>
      </w:pPr>
    </w:p>
    <w:p w:rsidR="00E25B18" w:rsidRDefault="00E25B18" w:rsidP="00E25B18">
      <w:pPr>
        <w:spacing w:line="240" w:lineRule="auto"/>
        <w:jc w:val="both"/>
      </w:pPr>
      <w:r>
        <w:t>Daňové a nedaňové příjmy a neinvestiční dotace jsou zdrojem krytí běžných výdajů města. Kapitálové výdaje mají být zajištěny kapitálovými příjmy</w:t>
      </w:r>
      <w:r w:rsidR="00FB0131">
        <w:t>, příjmy z dotací na investice, zůstatkem po zajištění výdajů na běžný provoz.</w:t>
      </w:r>
    </w:p>
    <w:p w:rsidR="00E25B18" w:rsidRDefault="00E25B18" w:rsidP="00E25B18">
      <w:pPr>
        <w:spacing w:line="240" w:lineRule="auto"/>
        <w:jc w:val="both"/>
      </w:pPr>
      <w:r>
        <w:t xml:space="preserve"> Následující faktory mohou ovlivnit vývoj finančních zdrojů města:</w:t>
      </w:r>
    </w:p>
    <w:p w:rsidR="00E25B18" w:rsidRDefault="00E25B18" w:rsidP="00B81152">
      <w:pPr>
        <w:pStyle w:val="Odstavecseseznamem"/>
        <w:numPr>
          <w:ilvl w:val="0"/>
          <w:numId w:val="11"/>
        </w:numPr>
        <w:spacing w:line="240" w:lineRule="auto"/>
        <w:jc w:val="both"/>
      </w:pPr>
      <w:r>
        <w:t>novely daňových zákonů,</w:t>
      </w:r>
    </w:p>
    <w:p w:rsidR="00E25B18" w:rsidRDefault="00E25B18" w:rsidP="00B81152">
      <w:pPr>
        <w:pStyle w:val="Odstavecseseznamem"/>
        <w:numPr>
          <w:ilvl w:val="0"/>
          <w:numId w:val="11"/>
        </w:numPr>
        <w:spacing w:line="240" w:lineRule="auto"/>
        <w:jc w:val="both"/>
      </w:pPr>
      <w:r>
        <w:t>měnící se rozsah a výše dotací ze státního rozpočtu,</w:t>
      </w:r>
      <w:r>
        <w:tab/>
      </w:r>
    </w:p>
    <w:p w:rsidR="00E25B18" w:rsidRDefault="00E25B18" w:rsidP="00B81152">
      <w:pPr>
        <w:pStyle w:val="Odstavecseseznamem"/>
        <w:numPr>
          <w:ilvl w:val="0"/>
          <w:numId w:val="11"/>
        </w:numPr>
        <w:spacing w:line="240" w:lineRule="auto"/>
        <w:jc w:val="both"/>
      </w:pPr>
      <w:r>
        <w:t>zajišťování vlastních zdrojů na financování akcí, kde je spoluúčast na financování z evropských fondů.</w:t>
      </w:r>
    </w:p>
    <w:p w:rsidR="00E25B18" w:rsidRDefault="00E25B18" w:rsidP="00E25B18">
      <w:pPr>
        <w:spacing w:line="240" w:lineRule="auto"/>
        <w:jc w:val="both"/>
      </w:pPr>
      <w:r>
        <w:t xml:space="preserve"> </w:t>
      </w:r>
    </w:p>
    <w:p w:rsidR="001A753B" w:rsidRDefault="001A753B" w:rsidP="00E25B18">
      <w:pPr>
        <w:jc w:val="both"/>
        <w:rPr>
          <w:b/>
          <w:color w:val="1F497D" w:themeColor="text2"/>
          <w:sz w:val="28"/>
          <w:szCs w:val="28"/>
        </w:rPr>
      </w:pPr>
    </w:p>
    <w:p w:rsidR="00A35743" w:rsidRDefault="00A35743" w:rsidP="00E25B18">
      <w:pPr>
        <w:jc w:val="both"/>
        <w:rPr>
          <w:b/>
          <w:color w:val="1F497D" w:themeColor="text2"/>
          <w:sz w:val="28"/>
          <w:szCs w:val="28"/>
        </w:rPr>
      </w:pPr>
    </w:p>
    <w:p w:rsidR="00A35743" w:rsidRDefault="00A35743" w:rsidP="00E25B18">
      <w:pPr>
        <w:jc w:val="both"/>
        <w:rPr>
          <w:b/>
          <w:color w:val="1F497D" w:themeColor="text2"/>
          <w:sz w:val="28"/>
          <w:szCs w:val="28"/>
        </w:rPr>
      </w:pPr>
    </w:p>
    <w:p w:rsidR="00AA37B3" w:rsidRDefault="00AA37B3" w:rsidP="00367578">
      <w:pPr>
        <w:pStyle w:val="Nadpis2"/>
      </w:pPr>
    </w:p>
    <w:p w:rsidR="00E25B18" w:rsidRDefault="00403981" w:rsidP="00367578">
      <w:pPr>
        <w:pStyle w:val="Nadpis2"/>
      </w:pPr>
      <w:bookmarkStart w:id="14" w:name="_Toc31055040"/>
      <w:r>
        <w:t>3</w:t>
      </w:r>
      <w:r w:rsidR="00367578">
        <w:t xml:space="preserve">. 1 </w:t>
      </w:r>
      <w:r w:rsidR="00E25B18" w:rsidRPr="00DB70A9">
        <w:t>PŘÍJMY</w:t>
      </w:r>
      <w:bookmarkEnd w:id="14"/>
    </w:p>
    <w:p w:rsidR="00367578" w:rsidRPr="00367578" w:rsidRDefault="00367578" w:rsidP="00367578"/>
    <w:p w:rsidR="00367578" w:rsidRPr="00367578" w:rsidRDefault="001A753B" w:rsidP="00367578">
      <w:pPr>
        <w:ind w:firstLine="360"/>
        <w:jc w:val="both"/>
        <w:rPr>
          <w:rFonts w:cstheme="minorHAnsi"/>
        </w:rPr>
      </w:pPr>
      <w:r w:rsidRPr="001A753B">
        <w:rPr>
          <w:rFonts w:cstheme="minorHAnsi"/>
        </w:rPr>
        <w:t>Příjmy rozpočtu města jsou závislé na počtu obyvatel, počtu žáků, velikosti katastru, dani z nemovitostí, místních poplatcích, vlastní činnosti (pronájmy majetku, atd.), na dotacích, na počtu zaměstnanců pracujících v katastru města, na prodeji majetku a zhodnocení finančních rezerv. Příjmová část je rozpočtována v souladu s aktuální prognózou ekonomiky, změnami zákonů a stavem</w:t>
      </w:r>
      <w:r w:rsidR="00367578" w:rsidRPr="00A97FE9">
        <w:rPr>
          <w:rFonts w:ascii="Times New Roman" w:hAnsi="Times New Roman" w:cs="Times New Roman"/>
          <w:sz w:val="20"/>
          <w:szCs w:val="20"/>
        </w:rPr>
        <w:t xml:space="preserve"> </w:t>
      </w:r>
      <w:r w:rsidR="00367578" w:rsidRPr="00367578">
        <w:rPr>
          <w:rFonts w:cstheme="minorHAnsi"/>
        </w:rPr>
        <w:t>v dotační oblasti.</w:t>
      </w:r>
    </w:p>
    <w:p w:rsidR="00367578" w:rsidRPr="00367578" w:rsidRDefault="00367578" w:rsidP="00367578">
      <w:pPr>
        <w:pStyle w:val="Odstavecseseznamem"/>
        <w:jc w:val="both"/>
        <w:rPr>
          <w:rFonts w:cstheme="minorHAnsi"/>
        </w:rPr>
      </w:pPr>
    </w:p>
    <w:p w:rsidR="00E25B18" w:rsidRPr="00DB70A9" w:rsidRDefault="00E25B18" w:rsidP="00E25B18">
      <w:pPr>
        <w:jc w:val="both"/>
        <w:rPr>
          <w:b/>
          <w:color w:val="00B0F0"/>
        </w:rPr>
      </w:pPr>
      <w:r w:rsidRPr="00DB70A9">
        <w:rPr>
          <w:b/>
          <w:color w:val="00B0F0"/>
        </w:rPr>
        <w:t>Daňové příjmy</w:t>
      </w:r>
    </w:p>
    <w:p w:rsidR="00E25B18" w:rsidRDefault="00E25B18" w:rsidP="00E25B18">
      <w:pPr>
        <w:jc w:val="both"/>
      </w:pPr>
      <w:r>
        <w:t>Rozhodující položkou v příjmové části jsou daňové příjmy, které představují cca 80 % rozpočtovaných příjmů města. Jejich výše v jednotlivých letech je dána předpokladem MF ČR o objemu jejich výběru a podílem dle rozpočtového určení daní, kde se předpokládá jejich meziroční nárůst. Bylo posíleno kritérium počtu žáků ze 7 % na 9 %.</w:t>
      </w:r>
    </w:p>
    <w:p w:rsidR="00367578" w:rsidRPr="00367578" w:rsidRDefault="00367578" w:rsidP="00367578">
      <w:pPr>
        <w:pStyle w:val="Nadpis3"/>
        <w:ind w:firstLine="70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bookmarkStart w:id="15" w:name="_Toc535222846"/>
      <w:bookmarkStart w:id="16" w:name="_Toc535222986"/>
      <w:bookmarkStart w:id="17" w:name="_Toc31054468"/>
      <w:bookmarkStart w:id="18" w:name="_Toc31055041"/>
      <w:r w:rsidRPr="0036757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Daňové příjmy města tvoří daň z přidané hodnoty, daň z příjmů právnických osob, daň z příjmů fyzických osob, daň z nemovitých věcí, daň z hazardu, různé typy poplatků, zejména místní a správní poplatky.</w:t>
      </w:r>
      <w:bookmarkEnd w:id="15"/>
      <w:bookmarkEnd w:id="16"/>
      <w:bookmarkEnd w:id="17"/>
      <w:bookmarkEnd w:id="18"/>
      <w:r w:rsidRPr="0036757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</w:p>
    <w:p w:rsidR="00367578" w:rsidRPr="00367578" w:rsidRDefault="00367578" w:rsidP="00367578">
      <w:pPr>
        <w:pStyle w:val="Nadpis3"/>
        <w:ind w:firstLine="70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bookmarkStart w:id="19" w:name="_Toc535222847"/>
      <w:bookmarkStart w:id="20" w:name="_Toc535222987"/>
      <w:bookmarkStart w:id="21" w:name="_Toc31054469"/>
      <w:bookmarkStart w:id="22" w:name="_Toc31055042"/>
      <w:r w:rsidRPr="0036757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Pokud se prostředky vybrané na daních dělí mezi více úrovní veřejných rozpočtů (obec, kraj, státní rozpočet), hovoříme o daních sdílených. Pokud je příjemcem finančních prostředků pouze jedna úroveň, jedná se o daně výlučné (daň z nemovitých věcí, výnos daně z příjmů právnických osob v případě, kdy poplatníkem je obec).</w:t>
      </w:r>
      <w:bookmarkEnd w:id="19"/>
      <w:bookmarkEnd w:id="20"/>
      <w:bookmarkEnd w:id="21"/>
      <w:bookmarkEnd w:id="22"/>
    </w:p>
    <w:p w:rsidR="00367578" w:rsidRDefault="00367578" w:rsidP="00367578">
      <w:pPr>
        <w:pStyle w:val="Nadpis3"/>
        <w:ind w:firstLine="708"/>
        <w:jc w:val="both"/>
        <w:rPr>
          <w:rFonts w:eastAsiaTheme="minorHAnsi"/>
          <w:b w:val="0"/>
          <w:bCs w:val="0"/>
          <w:sz w:val="20"/>
          <w:szCs w:val="20"/>
          <w:lang w:eastAsia="en-US"/>
        </w:rPr>
      </w:pPr>
      <w:bookmarkStart w:id="23" w:name="_Toc535222848"/>
      <w:bookmarkStart w:id="24" w:name="_Toc535222988"/>
      <w:bookmarkStart w:id="25" w:name="_Toc31054470"/>
      <w:bookmarkStart w:id="26" w:name="_Toc31055043"/>
      <w:r w:rsidRPr="0036757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Rozhodujícím kritériem při přerozdělování daňových příjmů je počet obyvatel města, podle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kterého se bude v roce 20</w:t>
      </w:r>
      <w:r w:rsidR="00A35743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přerozdělovat 89</w:t>
      </w:r>
      <w:r w:rsidRPr="0036757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% ze sdílených daní</w:t>
      </w:r>
      <w:r w:rsidRPr="00A97FE9">
        <w:rPr>
          <w:rFonts w:eastAsiaTheme="minorHAnsi"/>
          <w:b w:val="0"/>
          <w:bCs w:val="0"/>
          <w:sz w:val="20"/>
          <w:szCs w:val="20"/>
          <w:lang w:eastAsia="en-US"/>
        </w:rPr>
        <w:t>.</w:t>
      </w:r>
      <w:bookmarkEnd w:id="23"/>
      <w:bookmarkEnd w:id="24"/>
      <w:bookmarkEnd w:id="25"/>
      <w:bookmarkEnd w:id="26"/>
    </w:p>
    <w:p w:rsidR="00A35743" w:rsidRDefault="00A35743" w:rsidP="00367578">
      <w:pPr>
        <w:ind w:firstLine="708"/>
        <w:jc w:val="both"/>
      </w:pPr>
    </w:p>
    <w:p w:rsidR="00FB0131" w:rsidRDefault="00A35743" w:rsidP="00367578">
      <w:pPr>
        <w:ind w:firstLine="708"/>
        <w:jc w:val="both"/>
      </w:pPr>
      <w:r>
        <w:t>Daňové příjmy pro rok 2020</w:t>
      </w:r>
      <w:r w:rsidR="00FB0131">
        <w:t xml:space="preserve"> jsou rozpočtovány ve výši </w:t>
      </w:r>
      <w:r w:rsidR="00CC0254">
        <w:t>5</w:t>
      </w:r>
      <w:r>
        <w:t>7 167</w:t>
      </w:r>
      <w:r w:rsidR="00CC0254">
        <w:t xml:space="preserve"> </w:t>
      </w:r>
      <w:r w:rsidR="00FB0131" w:rsidRPr="00CC0254">
        <w:t>tis.</w:t>
      </w:r>
      <w:r w:rsidR="00FB0131">
        <w:t xml:space="preserve"> Kč. Zásadní podíl na daňových příjmech mají tzv. sdílené daně, které jsou pro rok 20</w:t>
      </w:r>
      <w:r>
        <w:t>20</w:t>
      </w:r>
      <w:r w:rsidR="00FB0131">
        <w:t xml:space="preserve"> navrženy ve </w:t>
      </w:r>
      <w:r w:rsidR="00FB0131" w:rsidRPr="00CC0254">
        <w:t xml:space="preserve">výši </w:t>
      </w:r>
      <w:r>
        <w:t>53 200</w:t>
      </w:r>
      <w:r w:rsidR="00FB0131" w:rsidRPr="00CC0254">
        <w:t>,-</w:t>
      </w:r>
      <w:r w:rsidR="00FB0131">
        <w:t xml:space="preserve"> tis. Kč. V úvahu při odhadu sdílených daní byl zohledněn návrh státního rozpočtu na rok 20</w:t>
      </w:r>
      <w:r>
        <w:t>20</w:t>
      </w:r>
      <w:r w:rsidR="00FB0131">
        <w:t xml:space="preserve"> a také se vycházelo z plnění sdílených daní v průběhu let 201</w:t>
      </w:r>
      <w:r>
        <w:t>8</w:t>
      </w:r>
      <w:r w:rsidR="00FB0131">
        <w:t xml:space="preserve"> a 201</w:t>
      </w:r>
      <w:r>
        <w:t>9</w:t>
      </w:r>
      <w:r w:rsidR="00FB0131">
        <w:t>. Odhad příjmu sdílených daní je oproti predikci Ministerstva financí ČR související s návrhem státního rozpočtu na rok 20</w:t>
      </w:r>
      <w:r>
        <w:t>20</w:t>
      </w:r>
      <w:r w:rsidR="00FB0131">
        <w:t xml:space="preserve"> ponížen o cca </w:t>
      </w:r>
      <w:r w:rsidR="00402770">
        <w:t>5</w:t>
      </w:r>
      <w:r w:rsidR="00FB0131">
        <w:t xml:space="preserve">%. Daň z nemovitosti, která je tzv. daní výlučnou, je rozpočtována ve výši </w:t>
      </w:r>
      <w:r w:rsidR="00CC0254">
        <w:t>1 400</w:t>
      </w:r>
      <w:r w:rsidR="00FB0131">
        <w:t xml:space="preserve"> tis. Kč. Příjem z místníc</w:t>
      </w:r>
      <w:r>
        <w:t>h poplatků je navrhován ve výši 1 967</w:t>
      </w:r>
      <w:r w:rsidR="00FB0131">
        <w:t xml:space="preserve"> tis. Kč. Příjmy z výherních hracích přístrojů a odvodu loterií a podobných her jsou na rok</w:t>
      </w:r>
      <w:r>
        <w:t xml:space="preserve"> 2020</w:t>
      </w:r>
      <w:r w:rsidR="00FB0131">
        <w:t xml:space="preserve"> rozpočtovány v celkové výši </w:t>
      </w:r>
      <w:r>
        <w:t>250</w:t>
      </w:r>
      <w:r w:rsidR="00FB0131">
        <w:t xml:space="preserve"> tis. Kč. Vzhledem ke změně v oblasti hazardu, kdy od 1.</w:t>
      </w:r>
      <w:r w:rsidR="00402770">
        <w:t xml:space="preserve"> </w:t>
      </w:r>
      <w:r w:rsidR="00FB0131">
        <w:t>1.</w:t>
      </w:r>
      <w:r w:rsidR="00402770">
        <w:t xml:space="preserve"> </w:t>
      </w:r>
      <w:r w:rsidR="00FB0131">
        <w:t xml:space="preserve">2017 vstoupil v účinnost nový zákon o hazardních hrách, byly příjmy </w:t>
      </w:r>
      <w:r w:rsidR="00402770">
        <w:t xml:space="preserve">z VHP a VLT, které </w:t>
      </w:r>
      <w:r w:rsidR="00FB0131">
        <w:t>jsou povoleny do konce roku 2019,</w:t>
      </w:r>
      <w:r w:rsidR="00402770">
        <w:t xml:space="preserve"> těžko odhadnutelné</w:t>
      </w:r>
      <w:r w:rsidR="00FB0131">
        <w:t xml:space="preserve"> s ohledem na charakter tohoto příjmu, který je odvislý od počtu povolených VHP a VLT. </w:t>
      </w:r>
      <w:r w:rsidR="00CC0254">
        <w:t xml:space="preserve"> S</w:t>
      </w:r>
      <w:r w:rsidR="00FB0131">
        <w:t>pr</w:t>
      </w:r>
      <w:r w:rsidR="00402770">
        <w:t>ávní poplatky jsou pro rok 20</w:t>
      </w:r>
      <w:r>
        <w:t>20</w:t>
      </w:r>
      <w:r w:rsidR="00402770">
        <w:t xml:space="preserve"> </w:t>
      </w:r>
      <w:r w:rsidR="00FB0131">
        <w:t xml:space="preserve">odhadovány ve výši </w:t>
      </w:r>
      <w:r w:rsidR="00CC0254">
        <w:t>350</w:t>
      </w:r>
      <w:r w:rsidR="00FB0131">
        <w:t xml:space="preserve"> tis. Kč</w:t>
      </w:r>
      <w:r w:rsidR="001A753B">
        <w:t>.</w:t>
      </w:r>
    </w:p>
    <w:p w:rsidR="00E25B18" w:rsidRPr="00DB70A9" w:rsidRDefault="00E25B18" w:rsidP="00E25B18">
      <w:pPr>
        <w:jc w:val="both"/>
        <w:rPr>
          <w:b/>
          <w:color w:val="C0504D" w:themeColor="accent2"/>
        </w:rPr>
      </w:pPr>
      <w:r>
        <w:t xml:space="preserve"> </w:t>
      </w:r>
      <w:r w:rsidRPr="00DB70A9">
        <w:rPr>
          <w:b/>
          <w:color w:val="C0504D" w:themeColor="accent2"/>
        </w:rPr>
        <w:t>DPH</w:t>
      </w:r>
    </w:p>
    <w:p w:rsidR="00E25B18" w:rsidRDefault="00E25B18" w:rsidP="00B81152">
      <w:pPr>
        <w:pStyle w:val="Odstavecseseznamem"/>
        <w:numPr>
          <w:ilvl w:val="0"/>
          <w:numId w:val="6"/>
        </w:numPr>
        <w:jc w:val="both"/>
      </w:pPr>
      <w:r>
        <w:t>Výraznější pokles vyplácených nadměrných odpočtů – pravděpodobný důsledek zavedení kontrolního hlášení a rozšiřování mechanismu přenesení daňové povinnosti</w:t>
      </w:r>
    </w:p>
    <w:p w:rsidR="00E25B18" w:rsidRDefault="00E25B18" w:rsidP="00B81152">
      <w:pPr>
        <w:pStyle w:val="Odstavecseseznamem"/>
        <w:numPr>
          <w:ilvl w:val="0"/>
          <w:numId w:val="6"/>
        </w:numPr>
        <w:jc w:val="both"/>
      </w:pPr>
      <w:r>
        <w:t>Meziročně vyšší růst spotřeby domácností a vlády</w:t>
      </w:r>
    </w:p>
    <w:p w:rsidR="00E25B18" w:rsidRDefault="00E25B18" w:rsidP="00B81152">
      <w:pPr>
        <w:pStyle w:val="Odstavecseseznamem"/>
        <w:numPr>
          <w:ilvl w:val="0"/>
          <w:numId w:val="6"/>
        </w:numPr>
        <w:jc w:val="both"/>
      </w:pPr>
      <w:r>
        <w:t xml:space="preserve">Zvýšení podílu obcí na DPH z 21,4 % na 23,58 % </w:t>
      </w:r>
    </w:p>
    <w:p w:rsidR="00E25B18" w:rsidRDefault="00E25B18" w:rsidP="00E25B18">
      <w:pPr>
        <w:pStyle w:val="Odstavecseseznamem"/>
        <w:jc w:val="both"/>
      </w:pPr>
    </w:p>
    <w:p w:rsidR="006F34B6" w:rsidRDefault="006F34B6" w:rsidP="00E25B18">
      <w:pPr>
        <w:jc w:val="both"/>
        <w:rPr>
          <w:b/>
          <w:color w:val="C0504D" w:themeColor="accent2"/>
        </w:rPr>
      </w:pPr>
    </w:p>
    <w:p w:rsidR="00E25B18" w:rsidRPr="00DB70A9" w:rsidRDefault="00E25B18" w:rsidP="00E25B18">
      <w:pPr>
        <w:jc w:val="both"/>
        <w:rPr>
          <w:b/>
          <w:color w:val="C0504D" w:themeColor="accent2"/>
        </w:rPr>
      </w:pPr>
      <w:r w:rsidRPr="00DB70A9">
        <w:rPr>
          <w:b/>
          <w:color w:val="C0504D" w:themeColor="accent2"/>
        </w:rPr>
        <w:lastRenderedPageBreak/>
        <w:t>DPFO</w:t>
      </w:r>
    </w:p>
    <w:p w:rsidR="00E25B18" w:rsidRDefault="00E25B18" w:rsidP="00B81152">
      <w:pPr>
        <w:pStyle w:val="Odstavecseseznamem"/>
        <w:numPr>
          <w:ilvl w:val="0"/>
          <w:numId w:val="7"/>
        </w:numPr>
        <w:jc w:val="both"/>
      </w:pPr>
      <w:r>
        <w:t>Navýšení mezd zaměstnanců v podnikatelské sféře</w:t>
      </w:r>
    </w:p>
    <w:p w:rsidR="00E25B18" w:rsidRDefault="00E25B18" w:rsidP="00B81152">
      <w:pPr>
        <w:pStyle w:val="Odstavecseseznamem"/>
        <w:numPr>
          <w:ilvl w:val="0"/>
          <w:numId w:val="7"/>
        </w:numPr>
        <w:jc w:val="both"/>
      </w:pPr>
      <w:r>
        <w:t>Snižování míry nezaměstnanosti</w:t>
      </w:r>
    </w:p>
    <w:p w:rsidR="00E25B18" w:rsidRDefault="00E25B18" w:rsidP="00B81152">
      <w:pPr>
        <w:pStyle w:val="Odstavecseseznamem"/>
        <w:numPr>
          <w:ilvl w:val="0"/>
          <w:numId w:val="7"/>
        </w:numPr>
        <w:jc w:val="both"/>
      </w:pPr>
      <w:r>
        <w:t>Navyšováním platů ve veřejné správě</w:t>
      </w:r>
    </w:p>
    <w:p w:rsidR="00E25B18" w:rsidRDefault="00E25B18" w:rsidP="00B81152">
      <w:pPr>
        <w:pStyle w:val="Odstavecseseznamem"/>
        <w:numPr>
          <w:ilvl w:val="0"/>
          <w:numId w:val="7"/>
        </w:numPr>
        <w:jc w:val="both"/>
      </w:pPr>
      <w:r>
        <w:t xml:space="preserve">Drobná změna podílu RUD obcí a krajů (od 1. 1. 2016 – navýšení z podílu 22,87 % na 23,58 %. </w:t>
      </w:r>
    </w:p>
    <w:p w:rsidR="00E25B18" w:rsidRPr="00DB70A9" w:rsidRDefault="00E25B18" w:rsidP="00E25B18">
      <w:pPr>
        <w:jc w:val="both"/>
        <w:rPr>
          <w:b/>
          <w:color w:val="C0504D" w:themeColor="accent2"/>
        </w:rPr>
      </w:pPr>
      <w:r w:rsidRPr="00DB70A9">
        <w:rPr>
          <w:b/>
          <w:color w:val="C0504D" w:themeColor="accent2"/>
        </w:rPr>
        <w:t>DPPO</w:t>
      </w:r>
    </w:p>
    <w:p w:rsidR="00E25B18" w:rsidRDefault="00E25B18" w:rsidP="00B81152">
      <w:pPr>
        <w:pStyle w:val="Odstavecseseznamem"/>
        <w:numPr>
          <w:ilvl w:val="0"/>
          <w:numId w:val="8"/>
        </w:numPr>
        <w:jc w:val="both"/>
      </w:pPr>
      <w:r>
        <w:t>Pozitivní vývoj ekonomiky</w:t>
      </w:r>
    </w:p>
    <w:p w:rsidR="00E25B18" w:rsidRDefault="00E25B18" w:rsidP="00B81152">
      <w:pPr>
        <w:pStyle w:val="Odstavecseseznamem"/>
        <w:numPr>
          <w:ilvl w:val="0"/>
          <w:numId w:val="8"/>
        </w:numPr>
        <w:jc w:val="both"/>
      </w:pPr>
      <w:r>
        <w:t>Efektivnější výběr daně (kontrolní akce Finanční správy)</w:t>
      </w:r>
      <w:r>
        <w:rPr>
          <w:rStyle w:val="Znakapoznpodarou"/>
        </w:rPr>
        <w:footnoteReference w:id="1"/>
      </w:r>
    </w:p>
    <w:p w:rsidR="00E25B18" w:rsidRDefault="00E25B18" w:rsidP="00E25B18">
      <w:pPr>
        <w:jc w:val="both"/>
      </w:pPr>
      <w:r>
        <w:t>Daňové příjmy dále zahrnují příjmy z místních a správních poplatků vybíraných na základě zákonů či obecně závazných vyhlášek (poplatek za odpady, z ubytování, ze psů, atd.)</w:t>
      </w:r>
    </w:p>
    <w:p w:rsidR="00E25B18" w:rsidRPr="00DB70A9" w:rsidRDefault="00E25B18" w:rsidP="00E25B18">
      <w:pPr>
        <w:jc w:val="both"/>
        <w:rPr>
          <w:b/>
          <w:color w:val="00B0F0"/>
        </w:rPr>
      </w:pPr>
      <w:r w:rsidRPr="00DB70A9">
        <w:rPr>
          <w:b/>
          <w:color w:val="00B0F0"/>
        </w:rPr>
        <w:t>Nedaňové příjmy</w:t>
      </w:r>
    </w:p>
    <w:p w:rsidR="001031E2" w:rsidRPr="001031E2" w:rsidRDefault="007F5C28" w:rsidP="00B50509">
      <w:pPr>
        <w:pStyle w:val="Nadpis3"/>
        <w:spacing w:line="276" w:lineRule="auto"/>
        <w:ind w:firstLine="70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bookmarkStart w:id="27" w:name="_Toc535222851"/>
      <w:bookmarkStart w:id="28" w:name="_Toc535222991"/>
      <w:bookmarkStart w:id="29" w:name="_Toc31054471"/>
      <w:bookmarkStart w:id="30" w:name="_Toc31055044"/>
      <w:r w:rsidRPr="007F5C28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Nedaňové příjmy představují relativně stabilní prvek v rozpočtu města. Jejich výše se odvíjí od velikosti majetku (pronájmy) a rozsahu vlastní činnosti (např. poskytování služeb, příjmy z lesního hospodářství, apod.) Menší část příjmů tvoří přijaté sankční platby, splátky půjček.</w:t>
      </w:r>
      <w:r>
        <w:t xml:space="preserve"> </w:t>
      </w:r>
      <w:r w:rsidR="001031E2" w:rsidRPr="001031E2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Nedaňové příjmy jsou navrhovány ve </w:t>
      </w:r>
      <w:r w:rsidR="001031E2" w:rsidRPr="00CC0254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výši </w:t>
      </w:r>
      <w:r w:rsidR="00C66A6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5 369</w:t>
      </w:r>
      <w:r w:rsidR="00CC0254" w:rsidRPr="00CC0254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tis.</w:t>
      </w:r>
      <w:r w:rsidR="001031E2" w:rsidRPr="00CC0254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Kč.</w:t>
      </w:r>
      <w:bookmarkEnd w:id="27"/>
      <w:bookmarkEnd w:id="28"/>
      <w:bookmarkEnd w:id="29"/>
      <w:bookmarkEnd w:id="30"/>
    </w:p>
    <w:p w:rsidR="007B47FB" w:rsidRDefault="007B47FB" w:rsidP="00E25B18">
      <w:pPr>
        <w:jc w:val="both"/>
        <w:rPr>
          <w:b/>
          <w:color w:val="00B0F0"/>
        </w:rPr>
      </w:pPr>
    </w:p>
    <w:p w:rsidR="00E25B18" w:rsidRPr="00DB70A9" w:rsidRDefault="00E25B18" w:rsidP="00E25B18">
      <w:pPr>
        <w:jc w:val="both"/>
        <w:rPr>
          <w:b/>
          <w:color w:val="00B0F0"/>
        </w:rPr>
      </w:pPr>
      <w:r w:rsidRPr="00DB70A9">
        <w:rPr>
          <w:b/>
          <w:color w:val="00B0F0"/>
        </w:rPr>
        <w:t>Kapitálové příjmy</w:t>
      </w:r>
    </w:p>
    <w:p w:rsidR="001031E2" w:rsidRDefault="001031E2" w:rsidP="00CC0254">
      <w:pPr>
        <w:pStyle w:val="Nadpis3"/>
        <w:spacing w:line="276" w:lineRule="auto"/>
        <w:ind w:firstLine="70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bookmarkStart w:id="31" w:name="_Toc535222852"/>
      <w:bookmarkStart w:id="32" w:name="_Toc535222992"/>
      <w:bookmarkStart w:id="33" w:name="_Toc31054472"/>
      <w:bookmarkStart w:id="34" w:name="_Toc31055045"/>
      <w:r w:rsidRPr="001031E2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Kapitálové příjmy jsou spíše doplňkovým zdrojem příjmů města. Jsou tvořeny zejména prodejem dlouhodobého majetku. Město nemá na rok 20</w:t>
      </w:r>
      <w:r w:rsidR="00C66A6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20</w:t>
      </w:r>
      <w:r w:rsidRPr="001031E2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schválen </w:t>
      </w:r>
      <w:r w:rsidR="00CC0254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záměr prodeje majetku</w:t>
      </w:r>
      <w:bookmarkEnd w:id="31"/>
      <w:bookmarkEnd w:id="32"/>
      <w:bookmarkEnd w:id="33"/>
      <w:bookmarkEnd w:id="34"/>
      <w:r w:rsidR="00C66A6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</w:t>
      </w:r>
    </w:p>
    <w:p w:rsidR="007B47FB" w:rsidRDefault="007B47FB" w:rsidP="00E25B18">
      <w:pPr>
        <w:jc w:val="both"/>
        <w:rPr>
          <w:b/>
          <w:color w:val="00B0F0"/>
        </w:rPr>
      </w:pPr>
    </w:p>
    <w:p w:rsidR="00E25B18" w:rsidRPr="00370A4C" w:rsidRDefault="00B50509" w:rsidP="007B47FB">
      <w:pPr>
        <w:jc w:val="both"/>
        <w:rPr>
          <w:b/>
          <w:color w:val="00B0F0"/>
        </w:rPr>
      </w:pPr>
      <w:r>
        <w:rPr>
          <w:b/>
          <w:color w:val="00B0F0"/>
        </w:rPr>
        <w:t>Přijaté transfery - d</w:t>
      </w:r>
      <w:r w:rsidR="00E25B18" w:rsidRPr="00370A4C">
        <w:rPr>
          <w:b/>
          <w:color w:val="00B0F0"/>
        </w:rPr>
        <w:t>otace</w:t>
      </w:r>
    </w:p>
    <w:p w:rsidR="00B50509" w:rsidRPr="00B50509" w:rsidRDefault="00B50509" w:rsidP="00B50509">
      <w:pPr>
        <w:pStyle w:val="Nadpis3"/>
        <w:spacing w:line="276" w:lineRule="auto"/>
        <w:ind w:firstLine="708"/>
        <w:jc w:val="both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bookmarkStart w:id="35" w:name="_Toc535222853"/>
      <w:bookmarkStart w:id="36" w:name="_Toc535222993"/>
      <w:bookmarkStart w:id="37" w:name="_Toc31054473"/>
      <w:bookmarkStart w:id="38" w:name="_Toc31055046"/>
      <w:r w:rsidRPr="00B5050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Transfery jsou druhým nejvýznamnějším zdrojem příjmů města. Mohou pocházet jak ze státního rozpočtu, tak i ze státních fondů, ale i z rozpočtů regionálních rad (EU projekty), z rozpočtů krajů. Největší část tvoří transfery ze státního rozpočtu, a to příspěvek na výkon státní správy</w:t>
      </w:r>
      <w:r w:rsidR="00C66A6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.</w:t>
      </w:r>
      <w:r w:rsidRPr="00B5050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Důležitou roli hrají i investiční dotace, ať už z národních nebo evropských programů.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Na rok 20</w:t>
      </w:r>
      <w:r w:rsidR="00C66A6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20</w:t>
      </w:r>
      <w:r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se počítá s příspěvkem na výkon státní správy ve </w:t>
      </w:r>
      <w:r w:rsidRPr="00D4445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výši 4</w:t>
      </w:r>
      <w:r w:rsidR="00C66A6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124</w:t>
      </w:r>
      <w:r w:rsidRPr="00D4445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tis.</w:t>
      </w:r>
      <w:r w:rsidR="00D44459" w:rsidRPr="00D4445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 xml:space="preserve"> Kč</w:t>
      </w:r>
      <w:bookmarkEnd w:id="35"/>
      <w:bookmarkEnd w:id="36"/>
      <w:r w:rsidR="00C66A6D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, což je o 97 tis. méně než v roce 2019. Příspěvek je nižší na působnost matričního úřadu.</w:t>
      </w:r>
      <w:bookmarkEnd w:id="37"/>
      <w:bookmarkEnd w:id="38"/>
    </w:p>
    <w:p w:rsidR="0010019D" w:rsidRPr="0010019D" w:rsidRDefault="0010019D" w:rsidP="0010019D">
      <w:pPr>
        <w:ind w:firstLine="708"/>
        <w:jc w:val="both"/>
        <w:rPr>
          <w:rFonts w:cstheme="minorHAnsi"/>
        </w:rPr>
      </w:pPr>
      <w:r w:rsidRPr="0010019D">
        <w:rPr>
          <w:rFonts w:cstheme="minorHAnsi"/>
        </w:rPr>
        <w:t xml:space="preserve">V celkovém objemu příspěvku byla zohledněna změna počtu obyvatel jednotlivých správních obvodů kategorií obcí dle </w:t>
      </w:r>
      <w:r w:rsidR="00C66A6D">
        <w:rPr>
          <w:rFonts w:cstheme="minorHAnsi"/>
        </w:rPr>
        <w:t>bilance obyvatel ČR k 1. 1. 2019</w:t>
      </w:r>
      <w:r w:rsidRPr="0010019D">
        <w:rPr>
          <w:rFonts w:cstheme="minorHAnsi"/>
        </w:rPr>
        <w:t xml:space="preserve"> vydané ČSÚ. Příspěvek je určen na částečnou úhradu výdajů spojených s výkonem státní správy. Výdaji se rozumí mzdové a provozní výdaje vázané na zaměstnance vykonávající státní správu. </w:t>
      </w:r>
    </w:p>
    <w:p w:rsidR="00D44459" w:rsidRDefault="00D44459" w:rsidP="00D44459">
      <w:pPr>
        <w:jc w:val="center"/>
        <w:rPr>
          <w:b/>
        </w:rPr>
      </w:pPr>
      <w:r>
        <w:rPr>
          <w:b/>
        </w:rPr>
        <w:t xml:space="preserve">Příspěvek na </w:t>
      </w:r>
      <w:r w:rsidR="00B37A62">
        <w:rPr>
          <w:b/>
        </w:rPr>
        <w:t>výkon státní správy pro rok 2020</w:t>
      </w:r>
    </w:p>
    <w:tbl>
      <w:tblPr>
        <w:tblW w:w="57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680"/>
      </w:tblGrid>
      <w:tr w:rsidR="00D44459" w:rsidTr="00CC0254">
        <w:trPr>
          <w:trHeight w:val="315"/>
          <w:jc w:val="center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D44459" w:rsidRDefault="00D44459" w:rsidP="00D44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Příspěvek</w:t>
            </w:r>
            <w:r w:rsidR="00B37A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na výkon státní správy rok 2020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D44459" w:rsidTr="00CC0254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Základní působnost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B37A62" w:rsidP="00CC02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807 043</w:t>
            </w:r>
            <w:r w:rsidR="00D444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  <w:tr w:rsidR="00D44459" w:rsidTr="00CC0254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Matriční působnost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B37A62" w:rsidP="00CC02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675 541</w:t>
            </w:r>
            <w:r w:rsidR="00D444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  <w:tr w:rsidR="00D44459" w:rsidTr="00CC0254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Stavební působnost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D44459" w:rsidP="00B37A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1</w:t>
            </w:r>
            <w:r w:rsidR="00B37A6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 727 141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  <w:tr w:rsidR="00D44459" w:rsidTr="00CC0254">
        <w:trPr>
          <w:trHeight w:val="300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Pověřený úřad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B37A62" w:rsidP="00CC02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914512</w:t>
            </w:r>
            <w:r w:rsidR="00D44459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  <w:tr w:rsidR="00D44459" w:rsidTr="00CC0254">
        <w:trPr>
          <w:trHeight w:val="315"/>
          <w:jc w:val="center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Opatrovnictví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  <w:tr w:rsidR="00D44459" w:rsidTr="00CC0254">
        <w:trPr>
          <w:trHeight w:val="315"/>
          <w:jc w:val="center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D44459" w:rsidRDefault="00D44459" w:rsidP="00CC02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vAlign w:val="bottom"/>
            <w:hideMark/>
          </w:tcPr>
          <w:p w:rsidR="00D44459" w:rsidRDefault="00D44459" w:rsidP="00B37A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  <w:r w:rsidR="00B37A62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 124 200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cs-CZ"/>
              </w:rPr>
              <w:t>,00</w:t>
            </w:r>
          </w:p>
        </w:tc>
      </w:tr>
    </w:tbl>
    <w:p w:rsidR="001031E2" w:rsidRDefault="001031E2" w:rsidP="001031E2">
      <w:pPr>
        <w:jc w:val="both"/>
      </w:pPr>
    </w:p>
    <w:p w:rsidR="001031E2" w:rsidRDefault="001031E2" w:rsidP="001031E2">
      <w:pPr>
        <w:jc w:val="both"/>
      </w:pPr>
    </w:p>
    <w:p w:rsidR="00C66A6D" w:rsidRDefault="00C66A6D" w:rsidP="00C9338B">
      <w:pPr>
        <w:pStyle w:val="Nadpis2"/>
      </w:pPr>
    </w:p>
    <w:p w:rsidR="00E25B18" w:rsidRPr="00DB70A9" w:rsidRDefault="00403981" w:rsidP="00C9338B">
      <w:pPr>
        <w:pStyle w:val="Nadpis2"/>
        <w:rPr>
          <w:b w:val="0"/>
          <w:color w:val="1F497D" w:themeColor="text2"/>
          <w:sz w:val="28"/>
          <w:szCs w:val="28"/>
        </w:rPr>
      </w:pPr>
      <w:bookmarkStart w:id="39" w:name="_Toc31055047"/>
      <w:r>
        <w:t>3</w:t>
      </w:r>
      <w:r w:rsidR="0074259A" w:rsidRPr="00C9338B">
        <w:t xml:space="preserve">. 2 </w:t>
      </w:r>
      <w:r w:rsidR="00E25B18" w:rsidRPr="00C9338B">
        <w:t>VÝDAJE</w:t>
      </w:r>
      <w:bookmarkEnd w:id="39"/>
      <w:r w:rsidR="006A0388">
        <w:rPr>
          <w:color w:val="1F497D" w:themeColor="text2"/>
          <w:sz w:val="28"/>
          <w:szCs w:val="28"/>
        </w:rPr>
        <w:tab/>
      </w:r>
    </w:p>
    <w:p w:rsidR="0010019D" w:rsidRPr="0010019D" w:rsidRDefault="0010019D" w:rsidP="0010019D">
      <w:pPr>
        <w:jc w:val="both"/>
      </w:pPr>
      <w:r>
        <w:rPr>
          <w:b/>
          <w:color w:val="00B0F0"/>
        </w:rPr>
        <w:t xml:space="preserve"> </w:t>
      </w:r>
      <w:r>
        <w:rPr>
          <w:b/>
          <w:color w:val="00B0F0"/>
        </w:rPr>
        <w:tab/>
      </w:r>
      <w:r w:rsidRPr="0010019D">
        <w:t>Výdaje města jsou vynaloženy zejména na provoz a údržbu majetku a na investiční akce. Při plánování výdajů musí být zohledněny ceny nakupovaných služeb, zboží, efektivita organizací a společností, správa dluhu, politika rozvoje a řízení projektů, lidé a efektivita jejich práce. Při plánování rozpočtu se výdajová část plánuje na základě požadavků vedoucích jednotlivých odborů a na město finančně napojených organizací.</w:t>
      </w:r>
    </w:p>
    <w:p w:rsidR="0010019D" w:rsidRDefault="0010019D" w:rsidP="00E25B18">
      <w:pPr>
        <w:jc w:val="both"/>
        <w:rPr>
          <w:b/>
          <w:color w:val="00B0F0"/>
        </w:rPr>
      </w:pPr>
      <w:r w:rsidRPr="00DB70A9">
        <w:rPr>
          <w:b/>
          <w:color w:val="00B0F0"/>
        </w:rPr>
        <w:t>Běžné výdaje</w:t>
      </w:r>
    </w:p>
    <w:p w:rsidR="0010019D" w:rsidRDefault="0010019D" w:rsidP="0010019D">
      <w:pPr>
        <w:ind w:firstLine="360"/>
        <w:jc w:val="both"/>
        <w:rPr>
          <w:rFonts w:cstheme="minorHAnsi"/>
        </w:rPr>
      </w:pPr>
      <w:r w:rsidRPr="0010019D">
        <w:rPr>
          <w:rFonts w:cstheme="minorHAnsi"/>
        </w:rPr>
        <w:t>Město je musí vynaložit každý rok na provoz, proto také provozní výdaje. Tyto výdaje musí samospráva vydat ze zákona (údržba města, příspěvkové organizace, apod.)</w:t>
      </w:r>
      <w:r>
        <w:rPr>
          <w:rFonts w:cstheme="minorHAnsi"/>
        </w:rPr>
        <w:t>.</w:t>
      </w:r>
    </w:p>
    <w:p w:rsidR="0010019D" w:rsidRPr="0010019D" w:rsidRDefault="0010019D" w:rsidP="0010019D">
      <w:pPr>
        <w:ind w:firstLine="708"/>
        <w:jc w:val="both"/>
        <w:rPr>
          <w:rFonts w:cstheme="minorHAnsi"/>
        </w:rPr>
      </w:pPr>
      <w:r>
        <w:rPr>
          <w:rFonts w:cstheme="minorHAnsi"/>
        </w:rPr>
        <w:t>P</w:t>
      </w:r>
      <w:r w:rsidRPr="0010019D">
        <w:rPr>
          <w:rFonts w:cstheme="minorHAnsi"/>
        </w:rPr>
        <w:t>rovozní saldo je zásadním ukazatelem finančního zdraví. Vypočítá se jako rozdíl běžných (provozních) příjmů a běžných (provozních) výdajů. To jsou prostředky, které zbývají městu po odpočtu splátek dluhu k „volnému“ rozhodování (rozvoj a investice).</w:t>
      </w:r>
    </w:p>
    <w:p w:rsidR="00E25B18" w:rsidRDefault="00E25B18" w:rsidP="0010019D">
      <w:pPr>
        <w:spacing w:line="240" w:lineRule="auto"/>
        <w:ind w:firstLine="360"/>
        <w:jc w:val="both"/>
      </w:pPr>
      <w:r>
        <w:t>Běžnými výdaji jsou neinvestiční nákupy a související výdaje, tzv. mandatorní výdaje, které obsahují:</w:t>
      </w:r>
    </w:p>
    <w:p w:rsidR="00E25B18" w:rsidRDefault="00E25B18" w:rsidP="00B81152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>výdaje na svoz komunálního odpadu,</w:t>
      </w:r>
    </w:p>
    <w:p w:rsidR="00E25B18" w:rsidRDefault="00E25B18" w:rsidP="00B81152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>výdaje na opravy a údržbu majetku, zajišťované odbor</w:t>
      </w:r>
      <w:r w:rsidR="00C66A6D">
        <w:t>em MIŽP</w:t>
      </w:r>
      <w:r>
        <w:t>,</w:t>
      </w:r>
    </w:p>
    <w:p w:rsidR="00E25B18" w:rsidRDefault="00E25B18" w:rsidP="00B81152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>výdaje, které zajišťuje odbor hospodářské správy,</w:t>
      </w:r>
    </w:p>
    <w:p w:rsidR="00E25B18" w:rsidRDefault="00E25B18" w:rsidP="00B81152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>výdaje zajišťující bezpečnost a pořádek ve městě</w:t>
      </w:r>
    </w:p>
    <w:p w:rsidR="00E25B18" w:rsidRDefault="00E25B18" w:rsidP="00B81152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>výdaje související s poskytováním příspěvků zřízeným příspěvkovým organizacím.</w:t>
      </w:r>
    </w:p>
    <w:p w:rsidR="0010019D" w:rsidRDefault="00DB003A" w:rsidP="0010019D">
      <w:pPr>
        <w:ind w:firstLine="360"/>
        <w:jc w:val="both"/>
        <w:rPr>
          <w:b/>
          <w:color w:val="00B0F0"/>
        </w:rPr>
      </w:pPr>
      <w:r>
        <w:t>Provozní (b</w:t>
      </w:r>
      <w:r w:rsidR="0010019D">
        <w:t>ěžné</w:t>
      </w:r>
      <w:r>
        <w:t>) výdaje jsou v porovnání s rokem 201</w:t>
      </w:r>
      <w:r w:rsidR="00C66A6D">
        <w:t>9</w:t>
      </w:r>
      <w:r>
        <w:t xml:space="preserve"> navrženy vyšší z důvodu vyšších nákladů na provoz z hlediska energií a navýšen</w:t>
      </w:r>
      <w:r w:rsidR="00C66A6D">
        <w:t>í platových tabulek k 1. 1. 2020</w:t>
      </w:r>
      <w:r>
        <w:t xml:space="preserve">. Běžné </w:t>
      </w:r>
      <w:r w:rsidR="0010019D">
        <w:t xml:space="preserve">výdaje celkem činí </w:t>
      </w:r>
      <w:r w:rsidR="007B47FB" w:rsidRPr="007B47FB">
        <w:t>6</w:t>
      </w:r>
      <w:r w:rsidR="00C66A6D">
        <w:t>9 237</w:t>
      </w:r>
      <w:r w:rsidR="0010019D" w:rsidRPr="007B47FB">
        <w:t xml:space="preserve"> tis. Kč</w:t>
      </w:r>
      <w:r w:rsidR="0010019D">
        <w:t xml:space="preserve"> a jsou navrženy jako závazný ukazatel rozpočtu (maximálně v uvedené výši). Přehled výdajů v podrobnějším členění je připojen v </w:t>
      </w:r>
      <w:r w:rsidR="0010019D" w:rsidRPr="007B47FB">
        <w:t xml:space="preserve">Příloze č. </w:t>
      </w:r>
      <w:r w:rsidR="006F34B6">
        <w:t>5 a 6.</w:t>
      </w:r>
    </w:p>
    <w:p w:rsidR="0010019D" w:rsidRDefault="0010019D" w:rsidP="00E25B18">
      <w:pPr>
        <w:jc w:val="both"/>
        <w:rPr>
          <w:b/>
          <w:color w:val="00B0F0"/>
        </w:rPr>
      </w:pPr>
    </w:p>
    <w:p w:rsidR="00E25B18" w:rsidRPr="00AE30CF" w:rsidRDefault="00E25B18" w:rsidP="00E25B18">
      <w:pPr>
        <w:jc w:val="both"/>
        <w:rPr>
          <w:b/>
          <w:color w:val="00B0F0"/>
        </w:rPr>
      </w:pPr>
      <w:r w:rsidRPr="00AE30CF">
        <w:rPr>
          <w:b/>
          <w:color w:val="00B0F0"/>
        </w:rPr>
        <w:t>Kapitálové výdaje</w:t>
      </w:r>
    </w:p>
    <w:p w:rsidR="00E25B18" w:rsidRDefault="0010019D" w:rsidP="0010019D">
      <w:pPr>
        <w:ind w:firstLine="708"/>
        <w:jc w:val="both"/>
      </w:pPr>
      <w:r w:rsidRPr="0010019D">
        <w:t xml:space="preserve">Většinou výdaje na rozvoj. Město by mělo investovat zejména do majetku, do infrastruktury a bezpečnosti.  </w:t>
      </w:r>
      <w:r w:rsidR="00E25B18">
        <w:t xml:space="preserve">Pokud bude vývoj příjmové části příznivý, tj. pokud bude město příjemcem dotačního titulu, bude možná realizace </w:t>
      </w:r>
      <w:r w:rsidR="00763B7C">
        <w:t xml:space="preserve">dalších </w:t>
      </w:r>
      <w:r w:rsidR="00E25B18">
        <w:t>investičních akcí. Důležité je zajištění finanční spoluúčasti města (prostřednictvím úvěru, kr</w:t>
      </w:r>
      <w:r>
        <w:t>ytí přebytkem hospodaření, atd.</w:t>
      </w:r>
      <w:r w:rsidR="00E25B18">
        <w:t>)</w:t>
      </w:r>
      <w:r>
        <w:t xml:space="preserve">. Kapitálové výdaje činí </w:t>
      </w:r>
      <w:r w:rsidR="00C66A6D">
        <w:t>35807</w:t>
      </w:r>
      <w:r w:rsidR="007B47FB">
        <w:t xml:space="preserve"> tis. Kč</w:t>
      </w:r>
      <w:r>
        <w:t>.</w:t>
      </w:r>
      <w:r w:rsidR="00403981">
        <w:t xml:space="preserve">  </w:t>
      </w:r>
      <w:r>
        <w:t>Přehled výdajů v podrobnějším členění je připojen v </w:t>
      </w:r>
      <w:r w:rsidRPr="007B47FB">
        <w:t>Příloze č.</w:t>
      </w:r>
      <w:r w:rsidR="007B47FB" w:rsidRPr="007B47FB">
        <w:t xml:space="preserve"> 7</w:t>
      </w:r>
      <w:r w:rsidR="007B47FB">
        <w:t>.</w:t>
      </w:r>
    </w:p>
    <w:p w:rsidR="00763B7C" w:rsidRDefault="00763B7C" w:rsidP="00E25B18">
      <w:pPr>
        <w:spacing w:line="240" w:lineRule="auto"/>
        <w:jc w:val="both"/>
      </w:pPr>
    </w:p>
    <w:p w:rsidR="00E25B18" w:rsidRPr="00C9338B" w:rsidRDefault="00403981" w:rsidP="00C9338B">
      <w:pPr>
        <w:pStyle w:val="Nadpis2"/>
      </w:pPr>
      <w:bookmarkStart w:id="40" w:name="_Toc31055048"/>
      <w:r>
        <w:t>3</w:t>
      </w:r>
      <w:r w:rsidR="0074259A" w:rsidRPr="00C9338B">
        <w:t xml:space="preserve">. 3 </w:t>
      </w:r>
      <w:r w:rsidR="00E25B18" w:rsidRPr="00C9338B">
        <w:t>Financování</w:t>
      </w:r>
      <w:bookmarkEnd w:id="40"/>
    </w:p>
    <w:p w:rsidR="00EF0F37" w:rsidRDefault="00EF0F37" w:rsidP="00EF0F37">
      <w:pPr>
        <w:ind w:firstLine="708"/>
        <w:jc w:val="both"/>
      </w:pPr>
      <w:r>
        <w:t>Jedná se o rozdíl mezi příjmy a výdaji. Financování zahrnuje zapojení výsledku hospodaření z minulého období, použití či tvorbu peněžních fondů města (financování z vlastních zdrojů) a dále přijetí návratných zdrojů (dluhů) a jejich umořování (splátky jistin). Tímto způsobem lze financování rozdělit na financování z cizích zdrojů a z vlastních zdrojů. Základní vztah příjmů, výdajů a financování lze vyjádřit následující rovnicí:</w:t>
      </w:r>
    </w:p>
    <w:p w:rsidR="00EF0F37" w:rsidRPr="007175B5" w:rsidRDefault="00EF0F37" w:rsidP="00E25B18">
      <w:pPr>
        <w:jc w:val="both"/>
        <w:rPr>
          <w:b/>
          <w:color w:val="00B0F0"/>
        </w:rPr>
      </w:pPr>
      <w:r>
        <w:t xml:space="preserve"> PŘÍJMY v daném roce – VÝDAJE v daném roce ± FINANCOVÁNÍ = 0</w:t>
      </w:r>
    </w:p>
    <w:p w:rsidR="00E25B18" w:rsidRDefault="00E25B18" w:rsidP="00B81152">
      <w:pPr>
        <w:pStyle w:val="Odstavecseseznamem"/>
        <w:numPr>
          <w:ilvl w:val="0"/>
          <w:numId w:val="13"/>
        </w:numPr>
      </w:pPr>
      <w:r>
        <w:t xml:space="preserve">V roce 2014 schválena a přijata Smlouva o úvěru s Českou spořitelnou, a. s. na akci „Snížení energetické náročnosti objektu ZŠ, Opletalova 699 v Benešově nad Ploučnicí“ ve výši 6 mil. Kč. Výše ročních splátek </w:t>
      </w:r>
      <w:r w:rsidR="00C66A6D">
        <w:t>v roce 2020 424 000</w:t>
      </w:r>
      <w:r>
        <w:t xml:space="preserve">,00 Kč. Počátek splácení 01/2015, poslední splátka </w:t>
      </w:r>
      <w:r w:rsidR="008548C4">
        <w:t>05</w:t>
      </w:r>
      <w:r>
        <w:t>/2020.</w:t>
      </w:r>
    </w:p>
    <w:p w:rsidR="00E25B18" w:rsidRDefault="00E25B18" w:rsidP="00E25B18">
      <w:pPr>
        <w:pStyle w:val="Odstavecseseznamem"/>
        <w:jc w:val="both"/>
      </w:pPr>
    </w:p>
    <w:p w:rsidR="008548C4" w:rsidRDefault="008548C4" w:rsidP="00E25B18">
      <w:pPr>
        <w:pStyle w:val="Odstavecseseznamem"/>
        <w:jc w:val="both"/>
      </w:pPr>
    </w:p>
    <w:p w:rsidR="00E25B18" w:rsidRDefault="00E25B18" w:rsidP="00B81152">
      <w:pPr>
        <w:pStyle w:val="Odstavecseseznamem"/>
        <w:numPr>
          <w:ilvl w:val="0"/>
          <w:numId w:val="13"/>
        </w:numPr>
        <w:jc w:val="both"/>
      </w:pPr>
      <w:r>
        <w:t>V roce 2016 schválena a přijata Smlouva o úvěru s KB, a. s. o úvěru na opravy nemovitého majetku města ve výši 6 000 000 Kč. Počátek splácení 01/2017. Výše ročních splátek 1 200 000 Kč. Poslední splátka 1. 12. 2021. Úvěr bude splácen částečně z přijatého nájemného a částečně z přebytků hospodaření minulých let.</w:t>
      </w:r>
    </w:p>
    <w:p w:rsidR="00E25B18" w:rsidRDefault="00E25B18" w:rsidP="00E25B18">
      <w:pPr>
        <w:pStyle w:val="Odstavecseseznamem"/>
        <w:jc w:val="both"/>
      </w:pPr>
    </w:p>
    <w:p w:rsidR="00E25B18" w:rsidRDefault="00E25B18" w:rsidP="00B81152">
      <w:pPr>
        <w:pStyle w:val="Odstavecseseznamem"/>
        <w:numPr>
          <w:ilvl w:val="0"/>
          <w:numId w:val="13"/>
        </w:numPr>
        <w:jc w:val="both"/>
      </w:pPr>
      <w:r>
        <w:t xml:space="preserve">V roce 2017 schválena a přijata Smlouva o úvěru s KB, a. s. o úvěru na akce: </w:t>
      </w:r>
    </w:p>
    <w:p w:rsidR="00E25B18" w:rsidRDefault="00E25B18" w:rsidP="00E25B18">
      <w:pPr>
        <w:pStyle w:val="Odstavecseseznamem"/>
        <w:jc w:val="both"/>
      </w:pPr>
    </w:p>
    <w:p w:rsidR="00E25B18" w:rsidRDefault="00E25B18" w:rsidP="00B81152">
      <w:pPr>
        <w:pStyle w:val="Odstavecseseznamem"/>
        <w:numPr>
          <w:ilvl w:val="0"/>
          <w:numId w:val="14"/>
        </w:numPr>
        <w:jc w:val="both"/>
      </w:pPr>
      <w:r>
        <w:t xml:space="preserve">rozšíření kapacity budovy </w:t>
      </w:r>
      <w:proofErr w:type="gramStart"/>
      <w:r>
        <w:t>MŠ                          5 000 000,00</w:t>
      </w:r>
      <w:proofErr w:type="gramEnd"/>
      <w:r>
        <w:t xml:space="preserve"> Kč</w:t>
      </w:r>
    </w:p>
    <w:p w:rsidR="00E25B18" w:rsidRDefault="00E25B18" w:rsidP="00B81152">
      <w:pPr>
        <w:pStyle w:val="Odstavecseseznamem"/>
        <w:numPr>
          <w:ilvl w:val="0"/>
          <w:numId w:val="14"/>
        </w:numPr>
        <w:jc w:val="both"/>
      </w:pPr>
      <w:r>
        <w:t xml:space="preserve">rekonstrukce mostu v ul. </w:t>
      </w:r>
      <w:proofErr w:type="gramStart"/>
      <w:r>
        <w:t xml:space="preserve">Sokolovská           </w:t>
      </w:r>
      <w:r w:rsidR="006F34B6">
        <w:t xml:space="preserve"> </w:t>
      </w:r>
      <w:r>
        <w:t xml:space="preserve"> 10 000 000,00</w:t>
      </w:r>
      <w:proofErr w:type="gramEnd"/>
      <w:r>
        <w:t xml:space="preserve"> Kč.</w:t>
      </w:r>
    </w:p>
    <w:p w:rsidR="00E25B18" w:rsidRDefault="00E25B18" w:rsidP="00E25B18">
      <w:pPr>
        <w:jc w:val="both"/>
      </w:pPr>
      <w:r>
        <w:t xml:space="preserve">Počátek splácení 01/2018. Výše ročních splátek 3 000 000,00 Kč.  Poslední splátka 12/2022. Úvěr bude splácen z přebytků hospodaření minulých let.  </w:t>
      </w:r>
    </w:p>
    <w:p w:rsidR="00403981" w:rsidRDefault="00403981" w:rsidP="00E25B18">
      <w:pPr>
        <w:jc w:val="both"/>
      </w:pPr>
    </w:p>
    <w:p w:rsidR="008548C4" w:rsidRDefault="008548C4" w:rsidP="008548C4">
      <w:pPr>
        <w:pStyle w:val="Odstavecseseznamem"/>
        <w:numPr>
          <w:ilvl w:val="0"/>
          <w:numId w:val="26"/>
        </w:numPr>
        <w:jc w:val="both"/>
      </w:pPr>
      <w:r>
        <w:t xml:space="preserve">V roce 2019 schválena a přijata Smlouva o investičním úvěrovém rámci s KB, a. s. určena k financování investičních záměrů města. Smlouva je zveřejněna na internetových stránkách města </w:t>
      </w:r>
      <w:hyperlink r:id="rId11" w:history="1">
        <w:r>
          <w:rPr>
            <w:rStyle w:val="Hypertextovodkaz"/>
          </w:rPr>
          <w:t>https://www.benesovnpl.cz/dokumenty/dokumenty-odboru-oddeleni/odbor-financni-planovaci/smlouva-o-uveru</w:t>
        </w:r>
      </w:hyperlink>
    </w:p>
    <w:p w:rsidR="0074259A" w:rsidRDefault="0074259A" w:rsidP="00E25B18">
      <w:pPr>
        <w:jc w:val="both"/>
        <w:rPr>
          <w:b/>
        </w:rPr>
      </w:pPr>
    </w:p>
    <w:p w:rsidR="0074259A" w:rsidRDefault="00403981" w:rsidP="0074259A">
      <w:pPr>
        <w:pStyle w:val="Nadpis1"/>
      </w:pPr>
      <w:bookmarkStart w:id="41" w:name="_Toc31055049"/>
      <w:r>
        <w:t>4</w:t>
      </w:r>
      <w:r w:rsidR="0074259A">
        <w:t xml:space="preserve"> Závazné ukazatele rozpočtu města Benešov nad Ploučnicí na rok 20</w:t>
      </w:r>
      <w:r w:rsidR="008548C4">
        <w:t>20</w:t>
      </w:r>
      <w:bookmarkEnd w:id="41"/>
    </w:p>
    <w:p w:rsidR="0074259A" w:rsidRPr="0074259A" w:rsidRDefault="0074259A" w:rsidP="0074259A"/>
    <w:p w:rsidR="0074259A" w:rsidRDefault="008548C4" w:rsidP="008548C4">
      <w:pPr>
        <w:pStyle w:val="Odstavecseseznamem"/>
        <w:numPr>
          <w:ilvl w:val="0"/>
          <w:numId w:val="26"/>
        </w:numPr>
        <w:jc w:val="both"/>
      </w:pPr>
      <w:r>
        <w:t>Objem příjmů celkem</w:t>
      </w:r>
    </w:p>
    <w:p w:rsidR="008548C4" w:rsidRDefault="008548C4" w:rsidP="008548C4">
      <w:pPr>
        <w:pStyle w:val="Odstavecseseznamem"/>
        <w:numPr>
          <w:ilvl w:val="0"/>
          <w:numId w:val="26"/>
        </w:numPr>
        <w:jc w:val="both"/>
      </w:pPr>
      <w:r>
        <w:t>Objem příjmů v kapitolách: daňové příjmy, nedaňové příjmy, kapitálové příjmy, transfery</w:t>
      </w:r>
    </w:p>
    <w:p w:rsidR="008548C4" w:rsidRDefault="008548C4" w:rsidP="008548C4">
      <w:pPr>
        <w:pStyle w:val="Odstavecseseznamem"/>
        <w:numPr>
          <w:ilvl w:val="0"/>
          <w:numId w:val="26"/>
        </w:numPr>
        <w:jc w:val="both"/>
      </w:pPr>
      <w:r>
        <w:t>Objem výdajů celkem</w:t>
      </w:r>
    </w:p>
    <w:p w:rsidR="008548C4" w:rsidRDefault="008548C4" w:rsidP="008548C4">
      <w:pPr>
        <w:pStyle w:val="Odstavecseseznamem"/>
        <w:numPr>
          <w:ilvl w:val="0"/>
          <w:numId w:val="26"/>
        </w:numPr>
        <w:jc w:val="both"/>
      </w:pPr>
      <w:r>
        <w:t>Objem běžných výdajů celkem</w:t>
      </w:r>
    </w:p>
    <w:p w:rsidR="008548C4" w:rsidRDefault="008548C4" w:rsidP="008548C4">
      <w:pPr>
        <w:pStyle w:val="Odstavecseseznamem"/>
        <w:numPr>
          <w:ilvl w:val="0"/>
          <w:numId w:val="26"/>
        </w:numPr>
        <w:jc w:val="both"/>
      </w:pPr>
      <w:r>
        <w:t>Objem kapitálových výdajů celkem</w:t>
      </w:r>
    </w:p>
    <w:p w:rsidR="008548C4" w:rsidRDefault="008548C4" w:rsidP="008548C4">
      <w:pPr>
        <w:pStyle w:val="Odstavecseseznamem"/>
        <w:numPr>
          <w:ilvl w:val="0"/>
          <w:numId w:val="26"/>
        </w:numPr>
        <w:jc w:val="both"/>
      </w:pPr>
      <w:r>
        <w:t>Objem příspěvků z rozpočtu města jednotlivým příspěvkovým organizacím</w:t>
      </w:r>
    </w:p>
    <w:p w:rsidR="008548C4" w:rsidRDefault="008548C4" w:rsidP="008548C4">
      <w:pPr>
        <w:pStyle w:val="Odstavecseseznamem"/>
        <w:numPr>
          <w:ilvl w:val="0"/>
          <w:numId w:val="26"/>
        </w:numPr>
        <w:jc w:val="both"/>
      </w:pPr>
      <w:r>
        <w:t>Financování celkem</w:t>
      </w:r>
    </w:p>
    <w:p w:rsidR="0074259A" w:rsidRDefault="0074259A" w:rsidP="0074259A">
      <w:pPr>
        <w:ind w:firstLine="708"/>
        <w:jc w:val="both"/>
      </w:pPr>
    </w:p>
    <w:p w:rsidR="0074259A" w:rsidRPr="0074259A" w:rsidRDefault="00403981" w:rsidP="00403981">
      <w:pPr>
        <w:pStyle w:val="Nadpis1"/>
      </w:pPr>
      <w:bookmarkStart w:id="42" w:name="_Toc31055050"/>
      <w:r>
        <w:t>5</w:t>
      </w:r>
      <w:r w:rsidR="0074259A" w:rsidRPr="0074259A">
        <w:t xml:space="preserve"> Změny rozpočtu / rozpisu rozpočtu města </w:t>
      </w:r>
      <w:r w:rsidR="0074259A">
        <w:t>Benešov nad Ploučnicí</w:t>
      </w:r>
      <w:r w:rsidR="0074259A" w:rsidRPr="0074259A">
        <w:t xml:space="preserve"> v roce 20</w:t>
      </w:r>
      <w:r w:rsidR="008548C4">
        <w:t>20</w:t>
      </w:r>
      <w:bookmarkEnd w:id="42"/>
      <w:r w:rsidR="0074259A" w:rsidRPr="0074259A">
        <w:t xml:space="preserve"> </w:t>
      </w:r>
    </w:p>
    <w:p w:rsidR="008548C4" w:rsidRDefault="008548C4" w:rsidP="0074259A">
      <w:pPr>
        <w:ind w:firstLine="708"/>
        <w:jc w:val="both"/>
      </w:pPr>
      <w:r>
        <w:t>Změny rozpočtu jsou prováděny v souladu s § 16 zák. č. 250/2000 Sb., o rozpočtových pravidlech územních rozpočtů.</w:t>
      </w:r>
    </w:p>
    <w:p w:rsidR="00F63213" w:rsidRDefault="00F63213" w:rsidP="0074259A">
      <w:pPr>
        <w:ind w:firstLine="708"/>
        <w:jc w:val="both"/>
      </w:pPr>
      <w:r>
        <w:t>Změny rozpočtu se provádějí rozpočtovými opatřeními, která jsou schvalována:</w:t>
      </w:r>
    </w:p>
    <w:p w:rsidR="00F63213" w:rsidRDefault="00F63213" w:rsidP="00F63213">
      <w:pPr>
        <w:pStyle w:val="Odstavecseseznamem"/>
        <w:numPr>
          <w:ilvl w:val="0"/>
          <w:numId w:val="27"/>
        </w:numPr>
        <w:jc w:val="both"/>
      </w:pPr>
      <w:r>
        <w:t>Zastupitelstvem města u změny závazných ukazatelů a hrozí-li schodek rozpočtového hospodaření</w:t>
      </w:r>
    </w:p>
    <w:p w:rsidR="00F63213" w:rsidRDefault="00F63213" w:rsidP="00F63213">
      <w:pPr>
        <w:pStyle w:val="Odstavecseseznamem"/>
        <w:numPr>
          <w:ilvl w:val="0"/>
          <w:numId w:val="27"/>
        </w:numPr>
        <w:jc w:val="both"/>
      </w:pPr>
      <w:r>
        <w:t>Radou města u změny ve finančních vztazích k jinému rozpočtu</w:t>
      </w:r>
    </w:p>
    <w:p w:rsidR="00F63213" w:rsidRDefault="00F63213" w:rsidP="00F63213">
      <w:pPr>
        <w:pStyle w:val="Odstavecseseznamem"/>
        <w:numPr>
          <w:ilvl w:val="0"/>
          <w:numId w:val="27"/>
        </w:numPr>
        <w:jc w:val="both"/>
      </w:pPr>
      <w:r>
        <w:t>Radou města u změn v rozpočtech příspěvkových organizací</w:t>
      </w:r>
    </w:p>
    <w:p w:rsidR="001C45BD" w:rsidRDefault="001C45BD" w:rsidP="00F63213">
      <w:pPr>
        <w:pStyle w:val="Odstavecseseznamem"/>
        <w:numPr>
          <w:ilvl w:val="0"/>
          <w:numId w:val="27"/>
        </w:numPr>
        <w:jc w:val="both"/>
      </w:pPr>
      <w:r>
        <w:t>Radou města změna rozpočtu v souvislosti s daní z příjmu právnických osob za město Benešov nad Ploučnicí.</w:t>
      </w:r>
    </w:p>
    <w:p w:rsidR="00F63213" w:rsidRDefault="00F63213" w:rsidP="00F63213">
      <w:pPr>
        <w:pStyle w:val="Odstavecseseznamem"/>
        <w:numPr>
          <w:ilvl w:val="0"/>
          <w:numId w:val="27"/>
        </w:numPr>
        <w:jc w:val="both"/>
      </w:pPr>
      <w:r>
        <w:t>Ostatní případy, kdy dochází ke změně rozpisu rozpočtu a které nespadají do kompetence zastupitelstva města či rady města, schvaluje vedoucí finančního odboru.</w:t>
      </w:r>
    </w:p>
    <w:p w:rsidR="0074259A" w:rsidRDefault="00F63213" w:rsidP="0074259A">
      <w:pPr>
        <w:ind w:firstLine="708"/>
        <w:jc w:val="both"/>
      </w:pPr>
      <w:r>
        <w:lastRenderedPageBreak/>
        <w:t xml:space="preserve"> </w:t>
      </w:r>
    </w:p>
    <w:p w:rsidR="00436197" w:rsidRDefault="001C45BD" w:rsidP="00085CF1">
      <w:pPr>
        <w:ind w:firstLine="360"/>
        <w:jc w:val="both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t xml:space="preserve"> </w:t>
      </w:r>
    </w:p>
    <w:p w:rsidR="00436197" w:rsidRPr="00436197" w:rsidRDefault="00403981" w:rsidP="002642C6">
      <w:pPr>
        <w:pStyle w:val="Nadpis1"/>
      </w:pPr>
      <w:bookmarkStart w:id="43" w:name="_Toc31055051"/>
      <w:r>
        <w:t>6</w:t>
      </w:r>
      <w:r w:rsidR="0074259A" w:rsidRPr="00436197">
        <w:t xml:space="preserve"> Závěr a možnost uplatnění připomínek</w:t>
      </w:r>
      <w:bookmarkEnd w:id="43"/>
    </w:p>
    <w:p w:rsidR="0074259A" w:rsidRPr="008B2049" w:rsidRDefault="00436197" w:rsidP="00436197">
      <w:pPr>
        <w:ind w:firstLine="360"/>
        <w:jc w:val="both"/>
        <w:rPr>
          <w:b/>
        </w:rPr>
      </w:pPr>
      <w:r>
        <w:t xml:space="preserve"> Návrh rozpočtu na rok 20</w:t>
      </w:r>
      <w:r w:rsidR="001C45BD">
        <w:t>20</w:t>
      </w:r>
      <w:r w:rsidR="0074259A">
        <w:t xml:space="preserve"> bude předložen k projednání Zastupitelstvu města </w:t>
      </w:r>
      <w:r>
        <w:t>Benešov nad Ploučnicí dne </w:t>
      </w:r>
      <w:r w:rsidR="001C45BD">
        <w:t>12</w:t>
      </w:r>
      <w:r>
        <w:t>. února 20</w:t>
      </w:r>
      <w:r w:rsidR="001C45BD">
        <w:t>20</w:t>
      </w:r>
      <w:r>
        <w:t>.</w:t>
      </w:r>
      <w:r w:rsidR="0074259A">
        <w:t xml:space="preserve"> K návrhu rozpočtu mohou občané města </w:t>
      </w:r>
      <w:r>
        <w:t>Benešov nad Ploučnicí</w:t>
      </w:r>
      <w:r w:rsidR="0074259A">
        <w:t xml:space="preserve"> uplatnit písemné připomínky v termínu do </w:t>
      </w:r>
      <w:r w:rsidR="001C45BD">
        <w:t>4</w:t>
      </w:r>
      <w:r>
        <w:t xml:space="preserve">. </w:t>
      </w:r>
      <w:r w:rsidR="001C45BD">
        <w:t>Ú</w:t>
      </w:r>
      <w:r>
        <w:t>nora</w:t>
      </w:r>
      <w:r w:rsidR="001C45BD">
        <w:t xml:space="preserve"> 2020</w:t>
      </w:r>
      <w:r>
        <w:t xml:space="preserve"> </w:t>
      </w:r>
      <w:r w:rsidR="0074259A">
        <w:t xml:space="preserve">u vedoucí </w:t>
      </w:r>
      <w:r>
        <w:t xml:space="preserve">finančního </w:t>
      </w:r>
      <w:r w:rsidR="0074259A">
        <w:t xml:space="preserve">odboru </w:t>
      </w:r>
      <w:r>
        <w:t>Městského úřadu Benešov nad Ploučnicí</w:t>
      </w:r>
      <w:r w:rsidR="0074259A">
        <w:t xml:space="preserve"> nebo ústně na</w:t>
      </w:r>
      <w:r w:rsidRPr="00436197">
        <w:t xml:space="preserve"> </w:t>
      </w:r>
      <w:r>
        <w:t xml:space="preserve">zasedání Zastupitelstva města Benešov nad Ploučnicí dne </w:t>
      </w:r>
      <w:r w:rsidR="001C45BD">
        <w:t>12</w:t>
      </w:r>
      <w:r>
        <w:t>. 2. 20</w:t>
      </w:r>
      <w:r w:rsidR="001C45BD">
        <w:t>20</w:t>
      </w:r>
      <w:r>
        <w:t>.</w:t>
      </w:r>
    </w:p>
    <w:p w:rsidR="0074259A" w:rsidRDefault="0074259A" w:rsidP="00E25B18">
      <w:pPr>
        <w:jc w:val="both"/>
        <w:rPr>
          <w:b/>
        </w:rPr>
      </w:pPr>
    </w:p>
    <w:p w:rsidR="0094656A" w:rsidRPr="0094656A" w:rsidRDefault="0094656A" w:rsidP="0094656A">
      <w:pPr>
        <w:pStyle w:val="Nadpis3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bookmarkStart w:id="44" w:name="_Toc31054477"/>
      <w:bookmarkStart w:id="45" w:name="_Toc31055052"/>
      <w:r w:rsidRPr="0094656A">
        <w:rPr>
          <w:rFonts w:asciiTheme="minorHAnsi" w:hAnsiTheme="minorHAnsi" w:cstheme="minorHAnsi"/>
          <w:color w:val="548DD4" w:themeColor="text2" w:themeTint="99"/>
          <w:sz w:val="22"/>
          <w:szCs w:val="22"/>
        </w:rPr>
        <w:t>Užitečné zdroje dat pro samosprávy:</w:t>
      </w:r>
      <w:bookmarkEnd w:id="44"/>
      <w:bookmarkEnd w:id="45"/>
    </w:p>
    <w:p w:rsidR="0094656A" w:rsidRPr="0094656A" w:rsidRDefault="001C45BD" w:rsidP="0094656A">
      <w:pPr>
        <w:pStyle w:val="Nadpis3"/>
        <w:rPr>
          <w:rFonts w:asciiTheme="minorHAnsi" w:hAnsiTheme="minorHAnsi" w:cstheme="minorHAnsi"/>
          <w:color w:val="548DD4" w:themeColor="text2" w:themeTint="99"/>
          <w:sz w:val="22"/>
          <w:szCs w:val="22"/>
        </w:rPr>
      </w:pPr>
      <w:r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 </w:t>
      </w:r>
      <w:hyperlink r:id="rId12" w:history="1">
        <w:bookmarkStart w:id="46" w:name="_Toc31054478"/>
        <w:bookmarkStart w:id="47" w:name="_Toc31055053"/>
        <w:r>
          <w:rPr>
            <w:rStyle w:val="Hypertextovodkaz"/>
            <w:rFonts w:eastAsiaTheme="majorEastAsia"/>
          </w:rPr>
          <w:t>http://monitor.statnipokladna.cz/2019/obce/detail/00261181</w:t>
        </w:r>
        <w:bookmarkEnd w:id="46"/>
        <w:bookmarkEnd w:id="47"/>
      </w:hyperlink>
    </w:p>
    <w:p w:rsidR="0074259A" w:rsidRDefault="0074259A" w:rsidP="00E25B18">
      <w:pPr>
        <w:jc w:val="both"/>
        <w:rPr>
          <w:b/>
        </w:rPr>
      </w:pPr>
    </w:p>
    <w:p w:rsidR="0074259A" w:rsidRDefault="0074259A" w:rsidP="00E25B18">
      <w:pPr>
        <w:jc w:val="both"/>
        <w:rPr>
          <w:b/>
        </w:rPr>
      </w:pPr>
    </w:p>
    <w:p w:rsidR="0074259A" w:rsidRDefault="0074259A" w:rsidP="00E25B18">
      <w:pPr>
        <w:jc w:val="both"/>
        <w:rPr>
          <w:b/>
        </w:rPr>
      </w:pPr>
    </w:p>
    <w:p w:rsidR="0074259A" w:rsidRDefault="0074259A" w:rsidP="00E25B18">
      <w:pPr>
        <w:jc w:val="both"/>
        <w:rPr>
          <w:b/>
        </w:rPr>
      </w:pPr>
    </w:p>
    <w:p w:rsidR="00E25B18" w:rsidRDefault="00E25B18" w:rsidP="00E25B18">
      <w:pPr>
        <w:jc w:val="both"/>
      </w:pPr>
      <w:r w:rsidRPr="00324BA3">
        <w:rPr>
          <w:b/>
        </w:rPr>
        <w:t>Město Benešov nad Ploučnicí dostojí svým současným závazkům.</w:t>
      </w:r>
    </w:p>
    <w:p w:rsidR="001C45BD" w:rsidRDefault="001C45BD" w:rsidP="00E25B18">
      <w:pPr>
        <w:jc w:val="both"/>
      </w:pPr>
    </w:p>
    <w:p w:rsidR="001C45BD" w:rsidRDefault="001C45BD" w:rsidP="00E25B18">
      <w:pPr>
        <w:jc w:val="both"/>
      </w:pPr>
    </w:p>
    <w:p w:rsidR="001C45BD" w:rsidRDefault="001C45BD" w:rsidP="00E25B18">
      <w:pPr>
        <w:jc w:val="both"/>
      </w:pPr>
    </w:p>
    <w:p w:rsidR="00E25B18" w:rsidRPr="00DB70A9" w:rsidRDefault="00E25B18" w:rsidP="00E25B18">
      <w:pPr>
        <w:jc w:val="both"/>
      </w:pPr>
      <w:r>
        <w:t>Zpracovala: Bc. Lenka Sluková, vedoucí finančního odboru</w:t>
      </w:r>
    </w:p>
    <w:p w:rsidR="009E462A" w:rsidRPr="00A97FE9" w:rsidRDefault="009E462A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9E462A" w:rsidRPr="0094656A" w:rsidRDefault="009E462A" w:rsidP="0094656A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03981" w:rsidRDefault="00403981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03981" w:rsidRDefault="00403981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85CF1" w:rsidRDefault="00085CF1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85CF1" w:rsidRDefault="00085CF1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085CF1" w:rsidRDefault="00085CF1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36197" w:rsidRDefault="00436197" w:rsidP="00A97FE9">
      <w:pPr>
        <w:pStyle w:val="Odstavecseseznamem"/>
        <w:ind w:left="1440"/>
        <w:jc w:val="both"/>
        <w:rPr>
          <w:rFonts w:ascii="Times New Roman" w:hAnsi="Times New Roman" w:cs="Times New Roman"/>
          <w:sz w:val="20"/>
          <w:szCs w:val="20"/>
        </w:rPr>
      </w:pPr>
    </w:p>
    <w:p w:rsidR="004844A3" w:rsidRDefault="009E16A8" w:rsidP="004844A3">
      <w:pPr>
        <w:pStyle w:val="Nadpis1"/>
      </w:pPr>
      <w:bookmarkStart w:id="48" w:name="_Toc499483318"/>
      <w:r>
        <w:t xml:space="preserve"> </w:t>
      </w:r>
      <w:bookmarkStart w:id="49" w:name="_Toc31055054"/>
      <w:r>
        <w:t>Rozpočet na rok 20</w:t>
      </w:r>
      <w:bookmarkEnd w:id="48"/>
      <w:r w:rsidR="00766E1A">
        <w:t>20</w:t>
      </w:r>
      <w:bookmarkEnd w:id="49"/>
    </w:p>
    <w:p w:rsidR="005506BB" w:rsidRPr="005506BB" w:rsidRDefault="005506BB" w:rsidP="005506BB"/>
    <w:p w:rsidR="001E5108" w:rsidRPr="005506BB" w:rsidRDefault="00A97FE9" w:rsidP="00A97FE9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bookmarkStart w:id="50" w:name="_Toc499483319"/>
      <w:bookmarkStart w:id="51" w:name="_Toc535222998"/>
      <w:bookmarkStart w:id="52" w:name="_Toc31054480"/>
      <w:bookmarkStart w:id="53" w:name="_Toc31055055"/>
      <w:r w:rsidRPr="005506BB">
        <w:rPr>
          <w:sz w:val="36"/>
          <w:szCs w:val="36"/>
        </w:rPr>
        <w:t>Příjmy</w:t>
      </w:r>
      <w:bookmarkEnd w:id="50"/>
      <w:bookmarkEnd w:id="51"/>
      <w:bookmarkEnd w:id="52"/>
      <w:bookmarkEnd w:id="53"/>
      <w:r w:rsidRPr="005506BB">
        <w:rPr>
          <w:sz w:val="36"/>
          <w:szCs w:val="36"/>
        </w:rPr>
        <w:t xml:space="preserve"> </w:t>
      </w:r>
      <w:r w:rsidR="005506BB" w:rsidRPr="005506BB">
        <w:rPr>
          <w:sz w:val="36"/>
          <w:szCs w:val="36"/>
        </w:rPr>
        <w:t xml:space="preserve"> </w:t>
      </w:r>
    </w:p>
    <w:p w:rsidR="009E16A8" w:rsidRDefault="009E16A8" w:rsidP="001E5108">
      <w:pPr>
        <w:pStyle w:val="Nadpis1"/>
      </w:pPr>
    </w:p>
    <w:tbl>
      <w:tblPr>
        <w:tblW w:w="964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4022"/>
      </w:tblGrid>
      <w:tr w:rsidR="00766E1A" w:rsidRPr="00766E1A" w:rsidTr="00766E1A">
        <w:trPr>
          <w:trHeight w:val="30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Příjmy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Návrh rozpočtu 2020 </w:t>
            </w:r>
          </w:p>
        </w:tc>
      </w:tr>
      <w:tr w:rsidR="00766E1A" w:rsidRPr="00766E1A" w:rsidTr="00766E1A">
        <w:trPr>
          <w:trHeight w:val="315"/>
        </w:trPr>
        <w:tc>
          <w:tcPr>
            <w:tcW w:w="5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66E1A" w:rsidRPr="00766E1A" w:rsidTr="00766E1A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66E1A" w:rsidRPr="00766E1A" w:rsidTr="00766E1A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Třída 1. Daňové příjmy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57 167 000,00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Třída 2. Nedaňové příjmy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5 369 500,00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Třída 3. Kapitálové příjmy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403981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</w:t>
            </w:r>
            <w:r w:rsidR="00766E1A"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</w:t>
            </w:r>
            <w:r w:rsidR="00085CF1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0,00</w:t>
            </w:r>
          </w:p>
        </w:tc>
      </w:tr>
      <w:tr w:rsidR="00766E1A" w:rsidRPr="00766E1A" w:rsidTr="00766E1A">
        <w:trPr>
          <w:trHeight w:val="315"/>
        </w:trPr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Třída 4. Transfery</w:t>
            </w:r>
          </w:p>
        </w:tc>
        <w:tc>
          <w:tcPr>
            <w:tcW w:w="4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4 347 720,00    </w:t>
            </w:r>
          </w:p>
        </w:tc>
      </w:tr>
      <w:tr w:rsidR="00766E1A" w:rsidRPr="00766E1A" w:rsidTr="00766E1A">
        <w:trPr>
          <w:trHeight w:val="39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 PŘÍJMY</w:t>
            </w:r>
          </w:p>
        </w:tc>
        <w:tc>
          <w:tcPr>
            <w:tcW w:w="40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               </w:t>
            </w:r>
            <w:r w:rsidR="004039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         </w:t>
            </w: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        66 874 220,00    </w:t>
            </w:r>
          </w:p>
        </w:tc>
      </w:tr>
    </w:tbl>
    <w:p w:rsidR="009E16A8" w:rsidRDefault="00403981" w:rsidP="009E16A8">
      <w:r>
        <w:t xml:space="preserve"> </w:t>
      </w:r>
    </w:p>
    <w:tbl>
      <w:tblPr>
        <w:tblW w:w="95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4537"/>
      </w:tblGrid>
      <w:tr w:rsidR="00766E1A" w:rsidRPr="00766E1A" w:rsidTr="00766E1A">
        <w:trPr>
          <w:trHeight w:val="30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Výdaje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Návrh rozpočtu 2020</w:t>
            </w:r>
          </w:p>
        </w:tc>
      </w:tr>
      <w:tr w:rsidR="00766E1A" w:rsidRPr="00766E1A" w:rsidTr="00766E1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66E1A" w:rsidRPr="00766E1A" w:rsidTr="00766E1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66E1A" w:rsidRPr="00766E1A" w:rsidTr="00766E1A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Třída 5. Běžné výdaje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69 237 287,16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z </w:t>
            </w:r>
            <w:proofErr w:type="gramStart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toho :</w:t>
            </w:r>
            <w:proofErr w:type="gramEnd"/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příspěvek na provoz ZŠ a MŠ Benešov </w:t>
            </w:r>
            <w:proofErr w:type="gramStart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n.Pl</w:t>
            </w:r>
            <w:proofErr w:type="gramEnd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5 400 000,00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příspěvek na provoz Služby města Benešov </w:t>
            </w:r>
            <w:proofErr w:type="gramStart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n.Pl</w:t>
            </w:r>
            <w:proofErr w:type="gramEnd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11 670 000,00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příspěvek na provoz Školní jídelna Benešov  </w:t>
            </w:r>
            <w:proofErr w:type="gramStart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n.Pl</w:t>
            </w:r>
            <w:proofErr w:type="gramEnd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1 150 000,00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příspěvek na provoz Centrum dětí a mládeže Benešov </w:t>
            </w:r>
            <w:proofErr w:type="gramStart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n.Pl</w:t>
            </w:r>
            <w:proofErr w:type="gramEnd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1 800 000,00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příspěvek pro Centrum sociálních služeb Děčín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   72 000,00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příspěvek MSK Benešov nad Ploučnicí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969 000,00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příspěvek RC Medvídek Benešov nad </w:t>
            </w:r>
            <w:proofErr w:type="spellStart"/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Ploučnící</w:t>
            </w:r>
            <w:proofErr w:type="spellEnd"/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100 000,00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dotační program - domy v městské památkové zóně (fasády…)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500 000,00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dotace přidělené radou města, zastupitelstvem města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100 000,00    </w:t>
            </w:r>
          </w:p>
        </w:tc>
      </w:tr>
      <w:tr w:rsidR="00766E1A" w:rsidRPr="00766E1A" w:rsidTr="00766E1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66E1A" w:rsidRPr="00766E1A" w:rsidTr="00766E1A">
        <w:trPr>
          <w:trHeight w:val="315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Třída 6. Kapitálové výdaje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35 807 000,00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z toho: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</w:t>
            </w:r>
          </w:p>
        </w:tc>
      </w:tr>
      <w:tr w:rsidR="00766E1A" w:rsidRPr="00766E1A" w:rsidTr="00766E1A">
        <w:trPr>
          <w:trHeight w:val="31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investiční příspěvek pro Školní jídelnu v Benešově nad Ploučnicí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       300 000,00    </w:t>
            </w:r>
          </w:p>
        </w:tc>
      </w:tr>
      <w:tr w:rsidR="00766E1A" w:rsidRPr="00766E1A" w:rsidTr="00766E1A">
        <w:trPr>
          <w:trHeight w:val="390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 VÝDAJE</w:t>
            </w:r>
          </w:p>
        </w:tc>
        <w:tc>
          <w:tcPr>
            <w:tcW w:w="45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                      105 044 287,16    </w:t>
            </w:r>
          </w:p>
        </w:tc>
      </w:tr>
    </w:tbl>
    <w:p w:rsidR="001A4136" w:rsidRDefault="001A4136" w:rsidP="009E16A8"/>
    <w:tbl>
      <w:tblPr>
        <w:tblW w:w="9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3620"/>
      </w:tblGrid>
      <w:tr w:rsidR="00766E1A" w:rsidRPr="00766E1A" w:rsidTr="00766E1A">
        <w:trPr>
          <w:trHeight w:val="390"/>
        </w:trPr>
        <w:tc>
          <w:tcPr>
            <w:tcW w:w="5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 SALDO PŘÍJMŮ A VÝDAJŮ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-                        38 170 067,16</w:t>
            </w:r>
            <w:proofErr w:type="gramEnd"/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   </w:t>
            </w:r>
          </w:p>
        </w:tc>
      </w:tr>
    </w:tbl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tbl>
      <w:tblPr>
        <w:tblW w:w="949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3"/>
        <w:gridCol w:w="4806"/>
      </w:tblGrid>
      <w:tr w:rsidR="00766E1A" w:rsidRPr="00766E1A" w:rsidTr="00766E1A">
        <w:trPr>
          <w:trHeight w:val="30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Financování</w:t>
            </w:r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 xml:space="preserve"> Návrh rozpočtu 2020 </w:t>
            </w:r>
          </w:p>
        </w:tc>
      </w:tr>
      <w:tr w:rsidR="00766E1A" w:rsidRPr="00766E1A" w:rsidTr="00766E1A">
        <w:trPr>
          <w:trHeight w:val="315"/>
        </w:trPr>
        <w:tc>
          <w:tcPr>
            <w:tcW w:w="4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66E1A" w:rsidRPr="00766E1A" w:rsidTr="00766E1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08080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766E1A" w:rsidRPr="00766E1A" w:rsidTr="00766E1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085CF1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085CF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  <w:t>Třída 8</w:t>
            </w:r>
            <w:r w:rsidR="00085CF1" w:rsidRPr="00085CF1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cs-CZ"/>
              </w:rPr>
              <w:t xml:space="preserve"> - Financování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Splátky úvěrů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-                                                                                 4 624 000,00</w:t>
            </w:r>
            <w:proofErr w:type="gramEnd"/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Přenesená daňová povinnost 4.</w:t>
            </w:r>
            <w:r w:rsidR="00085CF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 xml:space="preserve"> </w:t>
            </w: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čtvrtletí 2019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AB7085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proofErr w:type="gramStart"/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-                                                                                     205 </w:t>
            </w:r>
            <w:r w:rsidR="00AB7085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9</w:t>
            </w: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>32,84</w:t>
            </w:r>
            <w:proofErr w:type="gramEnd"/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</w:t>
            </w:r>
          </w:p>
        </w:tc>
      </w:tr>
      <w:tr w:rsidR="00766E1A" w:rsidRPr="00766E1A" w:rsidTr="00766E1A">
        <w:trPr>
          <w:trHeight w:val="300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Disponibilní zůstatek na běžných účtech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13 000 000,00    </w:t>
            </w:r>
          </w:p>
        </w:tc>
      </w:tr>
      <w:tr w:rsidR="00766E1A" w:rsidRPr="00766E1A" w:rsidTr="00766E1A">
        <w:trPr>
          <w:trHeight w:val="315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cs-CZ"/>
              </w:rPr>
              <w:t>Investiční úvěrový rámec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cs-CZ"/>
              </w:rPr>
              <w:t xml:space="preserve">                                                                               30 000 000,00    </w:t>
            </w:r>
          </w:p>
        </w:tc>
      </w:tr>
      <w:tr w:rsidR="00766E1A" w:rsidRPr="00766E1A" w:rsidTr="00766E1A">
        <w:trPr>
          <w:trHeight w:val="390"/>
        </w:trPr>
        <w:tc>
          <w:tcPr>
            <w:tcW w:w="4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766E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="004039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FINANCOVÁNÍ CELKEM</w:t>
            </w:r>
          </w:p>
        </w:tc>
        <w:tc>
          <w:tcPr>
            <w:tcW w:w="48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DD9C4"/>
            <w:noWrap/>
            <w:vAlign w:val="bottom"/>
            <w:hideMark/>
          </w:tcPr>
          <w:p w:rsidR="00766E1A" w:rsidRPr="00766E1A" w:rsidRDefault="00766E1A" w:rsidP="00AB708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</w:pP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                         38 170 </w:t>
            </w:r>
            <w:r w:rsidR="00AB7085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>0</w:t>
            </w:r>
            <w:r w:rsidRPr="00766E1A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  <w:lang w:eastAsia="cs-CZ"/>
              </w:rPr>
              <w:t xml:space="preserve">67,16    </w:t>
            </w:r>
          </w:p>
        </w:tc>
      </w:tr>
    </w:tbl>
    <w:p w:rsidR="00766E1A" w:rsidRDefault="00766E1A" w:rsidP="009E16A8"/>
    <w:p w:rsidR="00766E1A" w:rsidRDefault="00766E1A" w:rsidP="009E16A8">
      <w:bookmarkStart w:id="54" w:name="_GoBack"/>
      <w:bookmarkEnd w:id="54"/>
    </w:p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766E1A" w:rsidRDefault="00766E1A" w:rsidP="009E16A8"/>
    <w:p w:rsidR="009E16A8" w:rsidRDefault="001E5108" w:rsidP="009E16A8">
      <w:pPr>
        <w:rPr>
          <w:b/>
        </w:rPr>
      </w:pPr>
      <w:r>
        <w:rPr>
          <w:b/>
        </w:rPr>
        <w:t xml:space="preserve"> </w:t>
      </w:r>
    </w:p>
    <w:p w:rsidR="00403981" w:rsidRDefault="00403981" w:rsidP="009E16A8">
      <w:pPr>
        <w:rPr>
          <w:b/>
        </w:rPr>
      </w:pPr>
    </w:p>
    <w:p w:rsidR="00403981" w:rsidRDefault="00403981" w:rsidP="009E16A8">
      <w:pPr>
        <w:rPr>
          <w:b/>
        </w:rPr>
      </w:pPr>
    </w:p>
    <w:p w:rsidR="00403981" w:rsidRDefault="00403981" w:rsidP="009E16A8">
      <w:pPr>
        <w:rPr>
          <w:b/>
        </w:rPr>
      </w:pPr>
    </w:p>
    <w:p w:rsidR="00403981" w:rsidRDefault="00403981" w:rsidP="009E16A8">
      <w:pPr>
        <w:rPr>
          <w:b/>
        </w:rPr>
      </w:pPr>
    </w:p>
    <w:p w:rsidR="00403981" w:rsidRPr="001A4136" w:rsidRDefault="00403981" w:rsidP="009E16A8">
      <w:pPr>
        <w:rPr>
          <w:b/>
        </w:rPr>
      </w:pPr>
    </w:p>
    <w:p w:rsidR="009E16A8" w:rsidRDefault="001E5108" w:rsidP="009E16A8">
      <w:pPr>
        <w:pStyle w:val="Nadpis2"/>
      </w:pPr>
      <w:r>
        <w:t xml:space="preserve"> </w:t>
      </w:r>
    </w:p>
    <w:p w:rsidR="00A97FE9" w:rsidRDefault="00A97FE9" w:rsidP="00CD6AAB">
      <w:pPr>
        <w:pStyle w:val="Nadpis3"/>
        <w:rPr>
          <w:color w:val="548DD4" w:themeColor="text2" w:themeTint="99"/>
        </w:rPr>
      </w:pPr>
    </w:p>
    <w:p w:rsidR="00A97FE9" w:rsidRDefault="00A97FE9" w:rsidP="00CD6AAB">
      <w:pPr>
        <w:pStyle w:val="Nadpis3"/>
        <w:rPr>
          <w:color w:val="548DD4" w:themeColor="text2" w:themeTint="99"/>
        </w:rPr>
      </w:pPr>
    </w:p>
    <w:p w:rsidR="0094656A" w:rsidRPr="0094656A" w:rsidRDefault="00403981" w:rsidP="0094656A">
      <w:pPr>
        <w:pStyle w:val="Nadpis1"/>
      </w:pPr>
      <w:bookmarkStart w:id="55" w:name="_Toc31055056"/>
      <w:r>
        <w:t xml:space="preserve">8 </w:t>
      </w:r>
      <w:r w:rsidR="0094656A" w:rsidRPr="0094656A">
        <w:t>Přílohy</w:t>
      </w:r>
      <w:bookmarkEnd w:id="55"/>
    </w:p>
    <w:p w:rsidR="0094656A" w:rsidRPr="0094656A" w:rsidRDefault="0094656A" w:rsidP="0094656A">
      <w:pPr>
        <w:pStyle w:val="Nadpis3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bookmarkStart w:id="56" w:name="_Toc31055057"/>
      <w:r w:rsidRPr="0094656A">
        <w:rPr>
          <w:rFonts w:asciiTheme="minorHAnsi" w:hAnsiTheme="minorHAnsi" w:cstheme="minorHAnsi"/>
          <w:sz w:val="22"/>
          <w:szCs w:val="22"/>
        </w:rPr>
        <w:t xml:space="preserve">Žádost o poskytnutí dotace – Rodinné centrum Medvídek Benešov </w:t>
      </w:r>
      <w:proofErr w:type="gramStart"/>
      <w:r w:rsidRPr="0094656A">
        <w:rPr>
          <w:rFonts w:asciiTheme="minorHAnsi" w:hAnsiTheme="minorHAnsi" w:cstheme="minorHAnsi"/>
          <w:sz w:val="22"/>
          <w:szCs w:val="22"/>
        </w:rPr>
        <w:t>n.Pl</w:t>
      </w:r>
      <w:proofErr w:type="gramEnd"/>
      <w:r w:rsidRPr="0094656A">
        <w:rPr>
          <w:rFonts w:asciiTheme="minorHAnsi" w:hAnsiTheme="minorHAnsi" w:cstheme="minorHAnsi"/>
          <w:sz w:val="22"/>
          <w:szCs w:val="22"/>
        </w:rPr>
        <w:t>.</w:t>
      </w:r>
      <w:bookmarkEnd w:id="56"/>
    </w:p>
    <w:p w:rsidR="0094656A" w:rsidRPr="0094656A" w:rsidRDefault="0094656A" w:rsidP="0094656A">
      <w:pPr>
        <w:pStyle w:val="Nadpis3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bookmarkStart w:id="57" w:name="_Toc31055058"/>
      <w:r w:rsidRPr="0094656A">
        <w:rPr>
          <w:rFonts w:asciiTheme="minorHAnsi" w:hAnsiTheme="minorHAnsi" w:cstheme="minorHAnsi"/>
          <w:sz w:val="22"/>
          <w:szCs w:val="22"/>
        </w:rPr>
        <w:t xml:space="preserve">Žádost o poskytnutí dotace – Městský sportovní klub Benešov n. </w:t>
      </w:r>
      <w:proofErr w:type="spellStart"/>
      <w:r w:rsidRPr="0094656A">
        <w:rPr>
          <w:rFonts w:asciiTheme="minorHAnsi" w:hAnsiTheme="minorHAnsi" w:cstheme="minorHAnsi"/>
          <w:sz w:val="22"/>
          <w:szCs w:val="22"/>
        </w:rPr>
        <w:t>Pl</w:t>
      </w:r>
      <w:proofErr w:type="spellEnd"/>
      <w:r w:rsidRPr="0094656A">
        <w:rPr>
          <w:rFonts w:asciiTheme="minorHAnsi" w:hAnsiTheme="minorHAnsi" w:cstheme="minorHAnsi"/>
          <w:sz w:val="22"/>
          <w:szCs w:val="22"/>
        </w:rPr>
        <w:t>.</w:t>
      </w:r>
      <w:bookmarkEnd w:id="57"/>
    </w:p>
    <w:p w:rsidR="0094656A" w:rsidRDefault="0094656A" w:rsidP="00CD6AAB">
      <w:pPr>
        <w:pStyle w:val="Nadpis3"/>
        <w:rPr>
          <w:color w:val="548DD4" w:themeColor="text2" w:themeTint="99"/>
        </w:rPr>
      </w:pPr>
    </w:p>
    <w:sectPr w:rsidR="0094656A" w:rsidSect="001E5108">
      <w:headerReference w:type="default" r:id="rId13"/>
      <w:footerReference w:type="default" r:id="rId14"/>
      <w:pgSz w:w="11906" w:h="16838"/>
      <w:pgMar w:top="567" w:right="567" w:bottom="567" w:left="56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045" w:rsidRDefault="00C71045" w:rsidP="009E16A8">
      <w:pPr>
        <w:spacing w:after="0" w:line="240" w:lineRule="auto"/>
      </w:pPr>
      <w:r>
        <w:separator/>
      </w:r>
    </w:p>
  </w:endnote>
  <w:endnote w:type="continuationSeparator" w:id="0">
    <w:p w:rsidR="00C71045" w:rsidRDefault="00C71045" w:rsidP="009E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4942431"/>
      <w:docPartObj>
        <w:docPartGallery w:val="Page Numbers (Bottom of Page)"/>
        <w:docPartUnique/>
      </w:docPartObj>
    </w:sdtPr>
    <w:sdtEndPr/>
    <w:sdtContent>
      <w:p w:rsidR="00C71045" w:rsidRDefault="00C710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7085">
          <w:rPr>
            <w:noProof/>
          </w:rPr>
          <w:t>12</w:t>
        </w:r>
        <w:r>
          <w:fldChar w:fldCharType="end"/>
        </w:r>
      </w:p>
    </w:sdtContent>
  </w:sdt>
  <w:p w:rsidR="00C71045" w:rsidRDefault="00C710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045" w:rsidRDefault="00C71045" w:rsidP="009E16A8">
      <w:pPr>
        <w:spacing w:after="0" w:line="240" w:lineRule="auto"/>
      </w:pPr>
      <w:r>
        <w:separator/>
      </w:r>
    </w:p>
  </w:footnote>
  <w:footnote w:type="continuationSeparator" w:id="0">
    <w:p w:rsidR="00C71045" w:rsidRDefault="00C71045" w:rsidP="009E16A8">
      <w:pPr>
        <w:spacing w:after="0" w:line="240" w:lineRule="auto"/>
      </w:pPr>
      <w:r>
        <w:continuationSeparator/>
      </w:r>
    </w:p>
  </w:footnote>
  <w:footnote w:id="1">
    <w:p w:rsidR="00C71045" w:rsidRDefault="00C66A6D" w:rsidP="00E25B18">
      <w:pPr>
        <w:pStyle w:val="Textpoznpodarou"/>
      </w:pPr>
      <w:r>
        <w:rPr>
          <w:rStyle w:val="Znakapoznpodarou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045" w:rsidRPr="009E16A8" w:rsidRDefault="00C71045">
    <w:pPr>
      <w:pStyle w:val="Zhlav"/>
      <w:rPr>
        <w:i/>
        <w:sz w:val="16"/>
        <w:szCs w:val="16"/>
      </w:rPr>
    </w:pPr>
    <w:r>
      <w:rPr>
        <w:i/>
        <w:sz w:val="16"/>
        <w:szCs w:val="16"/>
      </w:rPr>
      <w:t>Rozpočet na rok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</w:abstractNum>
  <w:abstractNum w:abstractNumId="1">
    <w:nsid w:val="048A57C1"/>
    <w:multiLevelType w:val="hybridMultilevel"/>
    <w:tmpl w:val="9DC408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17DF"/>
    <w:multiLevelType w:val="hybridMultilevel"/>
    <w:tmpl w:val="683AF3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73BC"/>
    <w:multiLevelType w:val="hybridMultilevel"/>
    <w:tmpl w:val="3F087B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C7E8B"/>
    <w:multiLevelType w:val="hybridMultilevel"/>
    <w:tmpl w:val="D7D81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D1FE0"/>
    <w:multiLevelType w:val="hybridMultilevel"/>
    <w:tmpl w:val="1B66A0F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620BB2"/>
    <w:multiLevelType w:val="hybridMultilevel"/>
    <w:tmpl w:val="E974A7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631C8F"/>
    <w:multiLevelType w:val="hybridMultilevel"/>
    <w:tmpl w:val="1B7239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A637C"/>
    <w:multiLevelType w:val="hybridMultilevel"/>
    <w:tmpl w:val="A58A32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26933"/>
    <w:multiLevelType w:val="hybridMultilevel"/>
    <w:tmpl w:val="8722C1A8"/>
    <w:lvl w:ilvl="0" w:tplc="6254C1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2495194"/>
    <w:multiLevelType w:val="hybridMultilevel"/>
    <w:tmpl w:val="5950A3DA"/>
    <w:lvl w:ilvl="0" w:tplc="0C7C5F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C59F3"/>
    <w:multiLevelType w:val="hybridMultilevel"/>
    <w:tmpl w:val="01F2E0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A57B6A"/>
    <w:multiLevelType w:val="hybridMultilevel"/>
    <w:tmpl w:val="BEC082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DE67F5"/>
    <w:multiLevelType w:val="hybridMultilevel"/>
    <w:tmpl w:val="8C680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67D9F"/>
    <w:multiLevelType w:val="hybridMultilevel"/>
    <w:tmpl w:val="009A7E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B616E2"/>
    <w:multiLevelType w:val="hybridMultilevel"/>
    <w:tmpl w:val="346EB52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B4949DD"/>
    <w:multiLevelType w:val="hybridMultilevel"/>
    <w:tmpl w:val="DC8EF6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233416"/>
    <w:multiLevelType w:val="hybridMultilevel"/>
    <w:tmpl w:val="FF2E51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130FE"/>
    <w:multiLevelType w:val="hybridMultilevel"/>
    <w:tmpl w:val="91165B94"/>
    <w:lvl w:ilvl="0" w:tplc="818656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264433"/>
    <w:multiLevelType w:val="hybridMultilevel"/>
    <w:tmpl w:val="15141A3A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>
    <w:nsid w:val="713C69B7"/>
    <w:multiLevelType w:val="hybridMultilevel"/>
    <w:tmpl w:val="B246D924"/>
    <w:lvl w:ilvl="0" w:tplc="7068A4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D31EC"/>
    <w:multiLevelType w:val="hybridMultilevel"/>
    <w:tmpl w:val="CD56E62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A13E6E"/>
    <w:multiLevelType w:val="hybridMultilevel"/>
    <w:tmpl w:val="F96C64F6"/>
    <w:lvl w:ilvl="0" w:tplc="D2F49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144014"/>
    <w:multiLevelType w:val="hybridMultilevel"/>
    <w:tmpl w:val="FD684A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403C08"/>
    <w:multiLevelType w:val="hybridMultilevel"/>
    <w:tmpl w:val="9BCEA7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4F709B"/>
    <w:multiLevelType w:val="hybridMultilevel"/>
    <w:tmpl w:val="04126F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B845F3"/>
    <w:multiLevelType w:val="hybridMultilevel"/>
    <w:tmpl w:val="80248D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BE01DE"/>
    <w:multiLevelType w:val="hybridMultilevel"/>
    <w:tmpl w:val="B816A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5"/>
  </w:num>
  <w:num w:numId="5">
    <w:abstractNumId w:val="2"/>
  </w:num>
  <w:num w:numId="6">
    <w:abstractNumId w:val="12"/>
  </w:num>
  <w:num w:numId="7">
    <w:abstractNumId w:val="17"/>
  </w:num>
  <w:num w:numId="8">
    <w:abstractNumId w:val="4"/>
  </w:num>
  <w:num w:numId="9">
    <w:abstractNumId w:val="8"/>
  </w:num>
  <w:num w:numId="10">
    <w:abstractNumId w:val="1"/>
  </w:num>
  <w:num w:numId="11">
    <w:abstractNumId w:val="6"/>
  </w:num>
  <w:num w:numId="12">
    <w:abstractNumId w:val="27"/>
  </w:num>
  <w:num w:numId="13">
    <w:abstractNumId w:val="11"/>
  </w:num>
  <w:num w:numId="14">
    <w:abstractNumId w:val="21"/>
  </w:num>
  <w:num w:numId="15">
    <w:abstractNumId w:val="3"/>
  </w:num>
  <w:num w:numId="16">
    <w:abstractNumId w:val="19"/>
  </w:num>
  <w:num w:numId="17">
    <w:abstractNumId w:val="13"/>
  </w:num>
  <w:num w:numId="18">
    <w:abstractNumId w:val="23"/>
  </w:num>
  <w:num w:numId="19">
    <w:abstractNumId w:val="24"/>
  </w:num>
  <w:num w:numId="20">
    <w:abstractNumId w:val="14"/>
  </w:num>
  <w:num w:numId="21">
    <w:abstractNumId w:val="26"/>
  </w:num>
  <w:num w:numId="22">
    <w:abstractNumId w:val="10"/>
  </w:num>
  <w:num w:numId="23">
    <w:abstractNumId w:val="20"/>
  </w:num>
  <w:num w:numId="24">
    <w:abstractNumId w:val="18"/>
  </w:num>
  <w:num w:numId="25">
    <w:abstractNumId w:val="22"/>
  </w:num>
  <w:num w:numId="26">
    <w:abstractNumId w:val="25"/>
  </w:num>
  <w:num w:numId="27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A8"/>
    <w:rsid w:val="00000653"/>
    <w:rsid w:val="000300B0"/>
    <w:rsid w:val="000310B8"/>
    <w:rsid w:val="00037F92"/>
    <w:rsid w:val="000445FF"/>
    <w:rsid w:val="00085CF1"/>
    <w:rsid w:val="00091C0E"/>
    <w:rsid w:val="000C080E"/>
    <w:rsid w:val="0010019D"/>
    <w:rsid w:val="00100A7C"/>
    <w:rsid w:val="00101418"/>
    <w:rsid w:val="001031E2"/>
    <w:rsid w:val="0016478E"/>
    <w:rsid w:val="0018517F"/>
    <w:rsid w:val="0019564F"/>
    <w:rsid w:val="001A4136"/>
    <w:rsid w:val="001A43DE"/>
    <w:rsid w:val="001A753B"/>
    <w:rsid w:val="001B7ED1"/>
    <w:rsid w:val="001C2AC0"/>
    <w:rsid w:val="001C45BD"/>
    <w:rsid w:val="001C6B60"/>
    <w:rsid w:val="001D6A80"/>
    <w:rsid w:val="001E5108"/>
    <w:rsid w:val="002302E5"/>
    <w:rsid w:val="00233EA0"/>
    <w:rsid w:val="002477CD"/>
    <w:rsid w:val="0025763F"/>
    <w:rsid w:val="002642C6"/>
    <w:rsid w:val="00273951"/>
    <w:rsid w:val="002B6D9A"/>
    <w:rsid w:val="002D3C84"/>
    <w:rsid w:val="003131C1"/>
    <w:rsid w:val="00316A2B"/>
    <w:rsid w:val="00333FF5"/>
    <w:rsid w:val="00365FCE"/>
    <w:rsid w:val="00367578"/>
    <w:rsid w:val="003814B9"/>
    <w:rsid w:val="003874EF"/>
    <w:rsid w:val="00392A3A"/>
    <w:rsid w:val="00393249"/>
    <w:rsid w:val="003A12DF"/>
    <w:rsid w:val="003B0E7D"/>
    <w:rsid w:val="00402770"/>
    <w:rsid w:val="00403981"/>
    <w:rsid w:val="00407312"/>
    <w:rsid w:val="00436197"/>
    <w:rsid w:val="00451FE7"/>
    <w:rsid w:val="004844A3"/>
    <w:rsid w:val="00544C93"/>
    <w:rsid w:val="005506BB"/>
    <w:rsid w:val="005518A6"/>
    <w:rsid w:val="00575C50"/>
    <w:rsid w:val="005D04F7"/>
    <w:rsid w:val="005F3036"/>
    <w:rsid w:val="00600662"/>
    <w:rsid w:val="00614780"/>
    <w:rsid w:val="006458CD"/>
    <w:rsid w:val="006462F9"/>
    <w:rsid w:val="006531A0"/>
    <w:rsid w:val="00673E47"/>
    <w:rsid w:val="006A0388"/>
    <w:rsid w:val="006C717A"/>
    <w:rsid w:val="006D6C59"/>
    <w:rsid w:val="006F34B6"/>
    <w:rsid w:val="00701CC7"/>
    <w:rsid w:val="0074259A"/>
    <w:rsid w:val="0075323B"/>
    <w:rsid w:val="00763B7C"/>
    <w:rsid w:val="00766E1A"/>
    <w:rsid w:val="007A4511"/>
    <w:rsid w:val="007A7A26"/>
    <w:rsid w:val="007B47FB"/>
    <w:rsid w:val="007D5DA3"/>
    <w:rsid w:val="007E6EB8"/>
    <w:rsid w:val="007F3878"/>
    <w:rsid w:val="007F4CBB"/>
    <w:rsid w:val="007F5C28"/>
    <w:rsid w:val="008267C6"/>
    <w:rsid w:val="008548C4"/>
    <w:rsid w:val="00891AC5"/>
    <w:rsid w:val="008931D6"/>
    <w:rsid w:val="008A6A19"/>
    <w:rsid w:val="008B2049"/>
    <w:rsid w:val="008B5897"/>
    <w:rsid w:val="008C0B73"/>
    <w:rsid w:val="008C774E"/>
    <w:rsid w:val="008D1251"/>
    <w:rsid w:val="008F0C91"/>
    <w:rsid w:val="009203F4"/>
    <w:rsid w:val="00931D92"/>
    <w:rsid w:val="0094656A"/>
    <w:rsid w:val="00953820"/>
    <w:rsid w:val="00954558"/>
    <w:rsid w:val="00976A2E"/>
    <w:rsid w:val="00985B5E"/>
    <w:rsid w:val="009A6784"/>
    <w:rsid w:val="009E1023"/>
    <w:rsid w:val="009E16A8"/>
    <w:rsid w:val="009E3002"/>
    <w:rsid w:val="009E462A"/>
    <w:rsid w:val="009E7C89"/>
    <w:rsid w:val="00A03C44"/>
    <w:rsid w:val="00A23148"/>
    <w:rsid w:val="00A35743"/>
    <w:rsid w:val="00A521BF"/>
    <w:rsid w:val="00A574CD"/>
    <w:rsid w:val="00A91A09"/>
    <w:rsid w:val="00A97FE9"/>
    <w:rsid w:val="00AA37B3"/>
    <w:rsid w:val="00AA67C8"/>
    <w:rsid w:val="00AB53E9"/>
    <w:rsid w:val="00AB7085"/>
    <w:rsid w:val="00AC411F"/>
    <w:rsid w:val="00AC6057"/>
    <w:rsid w:val="00AD2E41"/>
    <w:rsid w:val="00AE207D"/>
    <w:rsid w:val="00AF3B3A"/>
    <w:rsid w:val="00AF4B9A"/>
    <w:rsid w:val="00B00E7B"/>
    <w:rsid w:val="00B10108"/>
    <w:rsid w:val="00B31392"/>
    <w:rsid w:val="00B35434"/>
    <w:rsid w:val="00B37A62"/>
    <w:rsid w:val="00B451C8"/>
    <w:rsid w:val="00B50509"/>
    <w:rsid w:val="00B537DC"/>
    <w:rsid w:val="00B60C6B"/>
    <w:rsid w:val="00B81152"/>
    <w:rsid w:val="00BB09F7"/>
    <w:rsid w:val="00BD6650"/>
    <w:rsid w:val="00BE2F81"/>
    <w:rsid w:val="00BE7AEE"/>
    <w:rsid w:val="00BF3DE8"/>
    <w:rsid w:val="00C16BC5"/>
    <w:rsid w:val="00C31B83"/>
    <w:rsid w:val="00C66A6D"/>
    <w:rsid w:val="00C70160"/>
    <w:rsid w:val="00C71045"/>
    <w:rsid w:val="00C840CC"/>
    <w:rsid w:val="00C9338B"/>
    <w:rsid w:val="00C97E03"/>
    <w:rsid w:val="00CA559B"/>
    <w:rsid w:val="00CC0254"/>
    <w:rsid w:val="00CD6AAB"/>
    <w:rsid w:val="00D06D69"/>
    <w:rsid w:val="00D25462"/>
    <w:rsid w:val="00D41B7C"/>
    <w:rsid w:val="00D44459"/>
    <w:rsid w:val="00DA106F"/>
    <w:rsid w:val="00DB003A"/>
    <w:rsid w:val="00DB23FE"/>
    <w:rsid w:val="00DB40C8"/>
    <w:rsid w:val="00DD372D"/>
    <w:rsid w:val="00E023FC"/>
    <w:rsid w:val="00E25B18"/>
    <w:rsid w:val="00E46C49"/>
    <w:rsid w:val="00ED3010"/>
    <w:rsid w:val="00ED4C83"/>
    <w:rsid w:val="00ED53EE"/>
    <w:rsid w:val="00ED5BBD"/>
    <w:rsid w:val="00EE05A7"/>
    <w:rsid w:val="00EE728E"/>
    <w:rsid w:val="00EF0E36"/>
    <w:rsid w:val="00EF0F37"/>
    <w:rsid w:val="00F007D4"/>
    <w:rsid w:val="00F03C6A"/>
    <w:rsid w:val="00F32BA1"/>
    <w:rsid w:val="00F63213"/>
    <w:rsid w:val="00FB0131"/>
    <w:rsid w:val="00FB2892"/>
    <w:rsid w:val="00FD37EB"/>
    <w:rsid w:val="00FF14BF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6A8"/>
  </w:style>
  <w:style w:type="paragraph" w:styleId="Nadpis1">
    <w:name w:val="heading 1"/>
    <w:basedOn w:val="Normln"/>
    <w:next w:val="Normln"/>
    <w:link w:val="Nadpis1Char"/>
    <w:uiPriority w:val="9"/>
    <w:qFormat/>
    <w:rsid w:val="009E1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E16A8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1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E16A8"/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E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9E16A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16A8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642C6"/>
    <w:pPr>
      <w:tabs>
        <w:tab w:val="right" w:leader="dot" w:pos="10762"/>
      </w:tabs>
      <w:spacing w:after="100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E16A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9E16A8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16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16A8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6A8"/>
  </w:style>
  <w:style w:type="paragraph" w:styleId="Zpat">
    <w:name w:val="footer"/>
    <w:basedOn w:val="Normln"/>
    <w:link w:val="ZpatChar"/>
    <w:uiPriority w:val="99"/>
    <w:unhideWhenUsed/>
    <w:rsid w:val="009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6A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E16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E16A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A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E16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E16A8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E16A8"/>
    <w:pPr>
      <w:outlineLvl w:val="9"/>
    </w:pPr>
    <w:rPr>
      <w:lang w:eastAsia="cs-CZ"/>
    </w:rPr>
  </w:style>
  <w:style w:type="paragraph" w:customStyle="1" w:styleId="Default">
    <w:name w:val="Default"/>
    <w:uiPriority w:val="99"/>
    <w:semiHidden/>
    <w:rsid w:val="009E1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9E16A8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rsid w:val="009E16A8"/>
    <w:rPr>
      <w:vertAlign w:val="superscript"/>
    </w:rPr>
  </w:style>
  <w:style w:type="character" w:customStyle="1" w:styleId="apple-converted-space">
    <w:name w:val="apple-converted-space"/>
    <w:basedOn w:val="Standardnpsmoodstavce"/>
    <w:rsid w:val="009E16A8"/>
  </w:style>
  <w:style w:type="table" w:styleId="Mkatabulky">
    <w:name w:val="Table Grid"/>
    <w:basedOn w:val="Normlntabulka"/>
    <w:uiPriority w:val="59"/>
    <w:rsid w:val="009E1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3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16A8"/>
  </w:style>
  <w:style w:type="paragraph" w:styleId="Nadpis1">
    <w:name w:val="heading 1"/>
    <w:basedOn w:val="Normln"/>
    <w:next w:val="Normln"/>
    <w:link w:val="Nadpis1Char"/>
    <w:uiPriority w:val="9"/>
    <w:qFormat/>
    <w:rsid w:val="009E16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E16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unhideWhenUsed/>
    <w:qFormat/>
    <w:rsid w:val="009E16A8"/>
    <w:pPr>
      <w:spacing w:before="100" w:beforeAutospacing="1" w:after="0" w:line="240" w:lineRule="auto"/>
      <w:outlineLvl w:val="2"/>
    </w:pPr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E16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16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E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E16A8"/>
    <w:rPr>
      <w:rFonts w:ascii="Times New Roman" w:eastAsia="Times New Roman" w:hAnsi="Times New Roman" w:cs="Times New Roman"/>
      <w:b/>
      <w:bCs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9E16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9E16A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E16A8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9E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2642C6"/>
    <w:pPr>
      <w:tabs>
        <w:tab w:val="right" w:leader="dot" w:pos="10762"/>
      </w:tabs>
      <w:spacing w:after="100"/>
    </w:pPr>
    <w:rPr>
      <w:b/>
      <w:bCs/>
      <w:noProof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9E16A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qFormat/>
    <w:rsid w:val="009E16A8"/>
    <w:pPr>
      <w:spacing w:after="100"/>
      <w:ind w:left="440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16A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16A8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9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16A8"/>
  </w:style>
  <w:style w:type="paragraph" w:styleId="Zpat">
    <w:name w:val="footer"/>
    <w:basedOn w:val="Normln"/>
    <w:link w:val="ZpatChar"/>
    <w:uiPriority w:val="99"/>
    <w:unhideWhenUsed/>
    <w:rsid w:val="009E16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16A8"/>
  </w:style>
  <w:style w:type="paragraph" w:styleId="Textvysvtlivek">
    <w:name w:val="endnote text"/>
    <w:basedOn w:val="Normln"/>
    <w:link w:val="TextvysvtlivekChar"/>
    <w:uiPriority w:val="99"/>
    <w:semiHidden/>
    <w:unhideWhenUsed/>
    <w:rsid w:val="009E16A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E16A8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E1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E16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1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16A8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9E16A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E16A8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9E16A8"/>
    <w:pPr>
      <w:outlineLvl w:val="9"/>
    </w:pPr>
    <w:rPr>
      <w:lang w:eastAsia="cs-CZ"/>
    </w:rPr>
  </w:style>
  <w:style w:type="paragraph" w:customStyle="1" w:styleId="Default">
    <w:name w:val="Default"/>
    <w:uiPriority w:val="99"/>
    <w:semiHidden/>
    <w:rsid w:val="009E16A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9E16A8"/>
    <w:rPr>
      <w:vertAlign w:val="superscript"/>
    </w:rPr>
  </w:style>
  <w:style w:type="character" w:styleId="Odkaznavysvtlivky">
    <w:name w:val="endnote reference"/>
    <w:basedOn w:val="Standardnpsmoodstavce"/>
    <w:uiPriority w:val="99"/>
    <w:semiHidden/>
    <w:unhideWhenUsed/>
    <w:rsid w:val="009E16A8"/>
    <w:rPr>
      <w:vertAlign w:val="superscript"/>
    </w:rPr>
  </w:style>
  <w:style w:type="character" w:customStyle="1" w:styleId="apple-converted-space">
    <w:name w:val="apple-converted-space"/>
    <w:basedOn w:val="Standardnpsmoodstavce"/>
    <w:rsid w:val="009E16A8"/>
  </w:style>
  <w:style w:type="table" w:styleId="Mkatabulky">
    <w:name w:val="Table Grid"/>
    <w:basedOn w:val="Normlntabulka"/>
    <w:uiPriority w:val="59"/>
    <w:rsid w:val="009E16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93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nitor.statnipokladna.cz/2019/obce/detail/0026118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enesovnpl.cz/dokumenty/dokumenty-odboru-oddeleni/odbor-financni-planovaci/smlouva-o-uve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64141-9357-424B-8052-7524ACBC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2956</Words>
  <Characters>17442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slukova</dc:creator>
  <cp:lastModifiedBy>Lenka Sluková</cp:lastModifiedBy>
  <cp:revision>4</cp:revision>
  <cp:lastPrinted>2020-02-12T07:56:00Z</cp:lastPrinted>
  <dcterms:created xsi:type="dcterms:W3CDTF">2020-01-28T09:20:00Z</dcterms:created>
  <dcterms:modified xsi:type="dcterms:W3CDTF">2020-03-03T08:05:00Z</dcterms:modified>
</cp:coreProperties>
</file>