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5A71" w:rsidRDefault="008B5A71"/>
    <w:p w:rsidR="008B5A71" w:rsidRDefault="008B5A71"/>
    <w:p w:rsidR="00316A2B" w:rsidRDefault="00836927" w:rsidP="007B32B5">
      <w:pPr>
        <w:jc w:val="center"/>
      </w:pPr>
      <w:r>
        <w:rPr>
          <w:noProof/>
          <w:lang w:eastAsia="cs-CZ"/>
        </w:rPr>
        <w:drawing>
          <wp:inline distT="0" distB="0" distL="0" distR="0" wp14:anchorId="30FEA60A" wp14:editId="34349EB5">
            <wp:extent cx="4524375" cy="3086100"/>
            <wp:effectExtent l="0" t="0" r="9525" b="0"/>
            <wp:docPr id="1" name="Obrázek 1" descr="C:\Users\slukova\Desktop\11430150_999065066778459_6891021518464333924_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lukova\Desktop\11430150_999065066778459_6891021518464333924_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22880" cy="3085080"/>
                    </a:xfrm>
                    <a:prstGeom prst="rect">
                      <a:avLst/>
                    </a:prstGeom>
                    <a:noFill/>
                    <a:ln>
                      <a:noFill/>
                    </a:ln>
                  </pic:spPr>
                </pic:pic>
              </a:graphicData>
            </a:graphic>
          </wp:inline>
        </w:drawing>
      </w:r>
    </w:p>
    <w:p w:rsidR="00836927" w:rsidRDefault="00836927"/>
    <w:p w:rsidR="00836927" w:rsidRDefault="00836927"/>
    <w:p w:rsidR="00D52061" w:rsidRPr="00D52061" w:rsidRDefault="00127BB0" w:rsidP="00D52061">
      <w:pPr>
        <w:tabs>
          <w:tab w:val="left" w:pos="520"/>
        </w:tabs>
        <w:spacing w:line="240" w:lineRule="auto"/>
        <w:jc w:val="center"/>
        <w:rPr>
          <w:b/>
          <w:sz w:val="28"/>
          <w:szCs w:val="28"/>
        </w:rPr>
      </w:pPr>
      <w:r>
        <w:rPr>
          <w:b/>
          <w:sz w:val="28"/>
          <w:szCs w:val="28"/>
        </w:rPr>
        <w:t xml:space="preserve">Střednědobý </w:t>
      </w:r>
      <w:r w:rsidR="007B32B5">
        <w:rPr>
          <w:b/>
          <w:sz w:val="28"/>
          <w:szCs w:val="28"/>
        </w:rPr>
        <w:t>výhled rozpočtu</w:t>
      </w:r>
      <w:r w:rsidR="00D52061" w:rsidRPr="00D52061">
        <w:rPr>
          <w:b/>
          <w:sz w:val="28"/>
          <w:szCs w:val="28"/>
        </w:rPr>
        <w:t xml:space="preserve"> na roky 20</w:t>
      </w:r>
      <w:r w:rsidR="00C93283">
        <w:rPr>
          <w:b/>
          <w:sz w:val="28"/>
          <w:szCs w:val="28"/>
        </w:rPr>
        <w:t>21</w:t>
      </w:r>
      <w:r w:rsidR="00D52061" w:rsidRPr="00D52061">
        <w:rPr>
          <w:b/>
          <w:sz w:val="28"/>
          <w:szCs w:val="28"/>
        </w:rPr>
        <w:t xml:space="preserve"> - 20</w:t>
      </w:r>
      <w:r w:rsidR="007B32B5">
        <w:rPr>
          <w:b/>
          <w:sz w:val="28"/>
          <w:szCs w:val="28"/>
        </w:rPr>
        <w:t>2</w:t>
      </w:r>
      <w:r w:rsidR="00C93283">
        <w:rPr>
          <w:b/>
          <w:sz w:val="28"/>
          <w:szCs w:val="28"/>
        </w:rPr>
        <w:t>2</w:t>
      </w:r>
    </w:p>
    <w:p w:rsidR="00D52061" w:rsidRDefault="00D52061"/>
    <w:p w:rsidR="00836927" w:rsidRDefault="00836927" w:rsidP="00836927">
      <w:pPr>
        <w:tabs>
          <w:tab w:val="left" w:pos="520"/>
        </w:tabs>
        <w:spacing w:line="240" w:lineRule="auto"/>
        <w:rPr>
          <w:b/>
          <w:sz w:val="24"/>
          <w:szCs w:val="24"/>
        </w:rPr>
      </w:pPr>
      <w:r>
        <w:rPr>
          <w:b/>
          <w:sz w:val="24"/>
          <w:szCs w:val="24"/>
        </w:rPr>
        <w:t>Projednáno</w:t>
      </w:r>
    </w:p>
    <w:p w:rsidR="00836927" w:rsidRDefault="00836927" w:rsidP="00836927">
      <w:pPr>
        <w:tabs>
          <w:tab w:val="left" w:pos="520"/>
        </w:tabs>
        <w:spacing w:line="240" w:lineRule="auto"/>
        <w:rPr>
          <w:b/>
          <w:sz w:val="24"/>
          <w:szCs w:val="24"/>
        </w:rPr>
      </w:pPr>
      <w:r>
        <w:rPr>
          <w:b/>
          <w:sz w:val="24"/>
          <w:szCs w:val="24"/>
        </w:rPr>
        <w:t xml:space="preserve">radou </w:t>
      </w:r>
      <w:proofErr w:type="gramStart"/>
      <w:r>
        <w:rPr>
          <w:b/>
          <w:sz w:val="24"/>
          <w:szCs w:val="24"/>
        </w:rPr>
        <w:t>města                                            dne</w:t>
      </w:r>
      <w:proofErr w:type="gramEnd"/>
      <w:r>
        <w:rPr>
          <w:b/>
          <w:sz w:val="24"/>
          <w:szCs w:val="24"/>
        </w:rPr>
        <w:t xml:space="preserve">:  </w:t>
      </w:r>
      <w:r w:rsidR="005C0ED3">
        <w:rPr>
          <w:b/>
          <w:sz w:val="24"/>
          <w:szCs w:val="24"/>
        </w:rPr>
        <w:t>18. 11. 2019</w:t>
      </w:r>
      <w:r w:rsidR="007B32B5">
        <w:rPr>
          <w:b/>
          <w:sz w:val="24"/>
          <w:szCs w:val="24"/>
        </w:rPr>
        <w:t xml:space="preserve"> </w:t>
      </w:r>
      <w:r w:rsidR="009774BE">
        <w:rPr>
          <w:b/>
          <w:sz w:val="24"/>
          <w:szCs w:val="24"/>
        </w:rPr>
        <w:t xml:space="preserve">  </w:t>
      </w:r>
      <w:r w:rsidR="00C93283">
        <w:rPr>
          <w:b/>
          <w:sz w:val="24"/>
          <w:szCs w:val="24"/>
        </w:rPr>
        <w:t xml:space="preserve">          </w:t>
      </w:r>
      <w:r w:rsidR="009B166B">
        <w:rPr>
          <w:b/>
          <w:sz w:val="24"/>
          <w:szCs w:val="24"/>
        </w:rPr>
        <w:t xml:space="preserve">  </w:t>
      </w:r>
      <w:proofErr w:type="spellStart"/>
      <w:r w:rsidR="009B166B">
        <w:rPr>
          <w:b/>
          <w:sz w:val="24"/>
          <w:szCs w:val="24"/>
        </w:rPr>
        <w:t>us</w:t>
      </w:r>
      <w:proofErr w:type="spellEnd"/>
      <w:r w:rsidR="009B166B">
        <w:rPr>
          <w:b/>
          <w:sz w:val="24"/>
          <w:szCs w:val="24"/>
        </w:rPr>
        <w:t xml:space="preserve">. </w:t>
      </w:r>
      <w:proofErr w:type="gramStart"/>
      <w:r w:rsidR="009B166B">
        <w:rPr>
          <w:b/>
          <w:sz w:val="24"/>
          <w:szCs w:val="24"/>
        </w:rPr>
        <w:t>č.</w:t>
      </w:r>
      <w:proofErr w:type="gramEnd"/>
      <w:r w:rsidR="005C0ED3">
        <w:rPr>
          <w:b/>
          <w:sz w:val="24"/>
          <w:szCs w:val="24"/>
        </w:rPr>
        <w:t xml:space="preserve"> 470/19</w:t>
      </w:r>
      <w:r w:rsidR="009B166B">
        <w:rPr>
          <w:b/>
          <w:sz w:val="24"/>
          <w:szCs w:val="24"/>
        </w:rPr>
        <w:t xml:space="preserve"> </w:t>
      </w:r>
    </w:p>
    <w:p w:rsidR="00836927" w:rsidRDefault="00836927" w:rsidP="00836927">
      <w:pPr>
        <w:tabs>
          <w:tab w:val="left" w:pos="520"/>
        </w:tabs>
        <w:spacing w:line="240" w:lineRule="auto"/>
        <w:rPr>
          <w:b/>
          <w:sz w:val="24"/>
          <w:szCs w:val="24"/>
        </w:rPr>
      </w:pPr>
      <w:r>
        <w:rPr>
          <w:b/>
          <w:sz w:val="24"/>
          <w:szCs w:val="24"/>
        </w:rPr>
        <w:t xml:space="preserve">zastupitelstvem </w:t>
      </w:r>
      <w:proofErr w:type="gramStart"/>
      <w:r>
        <w:rPr>
          <w:b/>
          <w:sz w:val="24"/>
          <w:szCs w:val="24"/>
        </w:rPr>
        <w:t>města                          dne</w:t>
      </w:r>
      <w:proofErr w:type="gramEnd"/>
      <w:r>
        <w:rPr>
          <w:b/>
          <w:sz w:val="24"/>
          <w:szCs w:val="24"/>
        </w:rPr>
        <w:t xml:space="preserve">:  </w:t>
      </w:r>
      <w:r w:rsidR="00127BB0">
        <w:rPr>
          <w:b/>
          <w:sz w:val="24"/>
          <w:szCs w:val="24"/>
        </w:rPr>
        <w:t xml:space="preserve">11. </w:t>
      </w:r>
      <w:proofErr w:type="gramStart"/>
      <w:r w:rsidR="00127BB0">
        <w:rPr>
          <w:b/>
          <w:sz w:val="24"/>
          <w:szCs w:val="24"/>
        </w:rPr>
        <w:t>12</w:t>
      </w:r>
      <w:proofErr w:type="gramEnd"/>
      <w:r w:rsidR="00127BB0">
        <w:rPr>
          <w:b/>
          <w:sz w:val="24"/>
          <w:szCs w:val="24"/>
        </w:rPr>
        <w:t xml:space="preserve"> .</w:t>
      </w:r>
      <w:proofErr w:type="gramStart"/>
      <w:r w:rsidR="00127BB0">
        <w:rPr>
          <w:b/>
          <w:sz w:val="24"/>
          <w:szCs w:val="24"/>
        </w:rPr>
        <w:t>2019</w:t>
      </w:r>
      <w:proofErr w:type="gramEnd"/>
      <w:r w:rsidR="007B32B5">
        <w:rPr>
          <w:b/>
          <w:sz w:val="24"/>
          <w:szCs w:val="24"/>
        </w:rPr>
        <w:t xml:space="preserve"> </w:t>
      </w:r>
      <w:r w:rsidR="009774BE">
        <w:rPr>
          <w:b/>
          <w:sz w:val="24"/>
          <w:szCs w:val="24"/>
        </w:rPr>
        <w:t xml:space="preserve"> </w:t>
      </w:r>
      <w:r w:rsidR="009B166B">
        <w:rPr>
          <w:b/>
          <w:sz w:val="24"/>
          <w:szCs w:val="24"/>
        </w:rPr>
        <w:t xml:space="preserve">  </w:t>
      </w:r>
      <w:r w:rsidR="00127BB0">
        <w:rPr>
          <w:b/>
          <w:sz w:val="24"/>
          <w:szCs w:val="24"/>
        </w:rPr>
        <w:t xml:space="preserve">           us.č.72/2019</w:t>
      </w:r>
    </w:p>
    <w:p w:rsidR="00836927" w:rsidRDefault="00836927" w:rsidP="00836927">
      <w:pPr>
        <w:tabs>
          <w:tab w:val="left" w:pos="520"/>
        </w:tabs>
        <w:spacing w:line="240" w:lineRule="auto"/>
        <w:rPr>
          <w:b/>
          <w:sz w:val="24"/>
          <w:szCs w:val="24"/>
        </w:rPr>
      </w:pPr>
    </w:p>
    <w:p w:rsidR="00836927" w:rsidRDefault="00836927" w:rsidP="00836927">
      <w:pPr>
        <w:tabs>
          <w:tab w:val="left" w:pos="520"/>
        </w:tabs>
        <w:spacing w:line="240" w:lineRule="auto"/>
        <w:rPr>
          <w:b/>
          <w:sz w:val="24"/>
          <w:szCs w:val="24"/>
        </w:rPr>
      </w:pPr>
      <w:r>
        <w:rPr>
          <w:b/>
          <w:sz w:val="24"/>
          <w:szCs w:val="24"/>
        </w:rPr>
        <w:t>Zpracoval:  Bc. Lenka Sluková – vedoucí finančního odboru</w:t>
      </w:r>
    </w:p>
    <w:p w:rsidR="00836927" w:rsidRDefault="00836927" w:rsidP="00836927">
      <w:pPr>
        <w:tabs>
          <w:tab w:val="left" w:pos="520"/>
        </w:tabs>
        <w:spacing w:line="240" w:lineRule="auto"/>
        <w:rPr>
          <w:b/>
          <w:sz w:val="24"/>
          <w:szCs w:val="24"/>
        </w:rPr>
      </w:pPr>
    </w:p>
    <w:p w:rsidR="00836927" w:rsidRDefault="00836927" w:rsidP="00836927">
      <w:pPr>
        <w:tabs>
          <w:tab w:val="left" w:pos="520"/>
        </w:tabs>
        <w:spacing w:line="240" w:lineRule="auto"/>
        <w:rPr>
          <w:b/>
          <w:sz w:val="24"/>
          <w:szCs w:val="24"/>
        </w:rPr>
      </w:pPr>
      <w:r>
        <w:rPr>
          <w:b/>
          <w:sz w:val="24"/>
          <w:szCs w:val="24"/>
        </w:rPr>
        <w:t xml:space="preserve">Zveřejněno dne:  </w:t>
      </w:r>
      <w:r w:rsidR="00C93283">
        <w:rPr>
          <w:b/>
          <w:sz w:val="24"/>
          <w:szCs w:val="24"/>
        </w:rPr>
        <w:t xml:space="preserve"> </w:t>
      </w:r>
      <w:r>
        <w:rPr>
          <w:b/>
          <w:sz w:val="24"/>
          <w:szCs w:val="24"/>
        </w:rPr>
        <w:t xml:space="preserve">   </w:t>
      </w:r>
      <w:r w:rsidR="007B32B5">
        <w:rPr>
          <w:b/>
          <w:sz w:val="24"/>
          <w:szCs w:val="24"/>
        </w:rPr>
        <w:t xml:space="preserve"> </w:t>
      </w:r>
      <w:r w:rsidR="009774BE">
        <w:rPr>
          <w:b/>
          <w:sz w:val="24"/>
          <w:szCs w:val="24"/>
        </w:rPr>
        <w:t xml:space="preserve"> </w:t>
      </w:r>
      <w:r>
        <w:rPr>
          <w:b/>
          <w:sz w:val="24"/>
          <w:szCs w:val="24"/>
        </w:rPr>
        <w:t xml:space="preserve">  </w:t>
      </w:r>
      <w:r w:rsidR="00887B57">
        <w:rPr>
          <w:b/>
          <w:sz w:val="24"/>
          <w:szCs w:val="24"/>
        </w:rPr>
        <w:t>15.11.2019</w:t>
      </w:r>
      <w:r>
        <w:rPr>
          <w:b/>
          <w:sz w:val="24"/>
          <w:szCs w:val="24"/>
        </w:rPr>
        <w:t xml:space="preserve">              </w:t>
      </w:r>
      <w:bookmarkStart w:id="0" w:name="_GoBack"/>
      <w:bookmarkEnd w:id="0"/>
      <w:r>
        <w:rPr>
          <w:b/>
          <w:sz w:val="24"/>
          <w:szCs w:val="24"/>
        </w:rPr>
        <w:t xml:space="preserve">    </w:t>
      </w:r>
      <w:r w:rsidR="003C2C7C">
        <w:rPr>
          <w:b/>
          <w:sz w:val="24"/>
          <w:szCs w:val="24"/>
        </w:rPr>
        <w:t xml:space="preserve">                            </w:t>
      </w:r>
      <w:r>
        <w:rPr>
          <w:b/>
          <w:sz w:val="24"/>
          <w:szCs w:val="24"/>
        </w:rPr>
        <w:t xml:space="preserve">        Sejmuto dne:    </w:t>
      </w:r>
      <w:r w:rsidR="009774BE">
        <w:rPr>
          <w:b/>
          <w:sz w:val="24"/>
          <w:szCs w:val="24"/>
        </w:rPr>
        <w:t xml:space="preserve"> </w:t>
      </w:r>
      <w:r w:rsidR="007B32B5">
        <w:rPr>
          <w:b/>
          <w:sz w:val="24"/>
          <w:szCs w:val="24"/>
        </w:rPr>
        <w:t xml:space="preserve"> </w:t>
      </w:r>
      <w:r w:rsidR="00C93283">
        <w:rPr>
          <w:b/>
          <w:sz w:val="24"/>
          <w:szCs w:val="24"/>
        </w:rPr>
        <w:t xml:space="preserve"> </w:t>
      </w:r>
      <w:r w:rsidR="00887B57">
        <w:rPr>
          <w:b/>
          <w:sz w:val="24"/>
          <w:szCs w:val="24"/>
        </w:rPr>
        <w:t>11.12.2019</w:t>
      </w:r>
    </w:p>
    <w:p w:rsidR="00836927" w:rsidRDefault="00836927" w:rsidP="00836927">
      <w:pPr>
        <w:tabs>
          <w:tab w:val="left" w:pos="520"/>
        </w:tabs>
        <w:spacing w:line="240" w:lineRule="auto"/>
        <w:rPr>
          <w:b/>
          <w:sz w:val="24"/>
          <w:szCs w:val="24"/>
        </w:rPr>
      </w:pPr>
      <w:r>
        <w:rPr>
          <w:b/>
          <w:sz w:val="24"/>
          <w:szCs w:val="24"/>
        </w:rPr>
        <w:t xml:space="preserve">Schváleno dne:  </w:t>
      </w:r>
      <w:r w:rsidR="00C93283">
        <w:rPr>
          <w:b/>
          <w:sz w:val="24"/>
          <w:szCs w:val="24"/>
        </w:rPr>
        <w:t xml:space="preserve"> </w:t>
      </w:r>
      <w:r>
        <w:rPr>
          <w:b/>
          <w:sz w:val="24"/>
          <w:szCs w:val="24"/>
        </w:rPr>
        <w:t xml:space="preserve">    </w:t>
      </w:r>
      <w:r w:rsidR="009774BE">
        <w:rPr>
          <w:b/>
          <w:sz w:val="24"/>
          <w:szCs w:val="24"/>
        </w:rPr>
        <w:t xml:space="preserve"> </w:t>
      </w:r>
      <w:r w:rsidR="00127BB0">
        <w:rPr>
          <w:b/>
          <w:sz w:val="24"/>
          <w:szCs w:val="24"/>
        </w:rPr>
        <w:t>11. 12. 2019</w:t>
      </w:r>
      <w:r>
        <w:rPr>
          <w:b/>
          <w:sz w:val="24"/>
          <w:szCs w:val="24"/>
        </w:rPr>
        <w:t xml:space="preserve"> </w:t>
      </w:r>
      <w:r w:rsidR="007B32B5">
        <w:rPr>
          <w:b/>
          <w:sz w:val="24"/>
          <w:szCs w:val="24"/>
        </w:rPr>
        <w:t xml:space="preserve"> </w:t>
      </w:r>
    </w:p>
    <w:p w:rsidR="00836927" w:rsidRDefault="00836927" w:rsidP="00836927">
      <w:pPr>
        <w:tabs>
          <w:tab w:val="left" w:pos="520"/>
        </w:tabs>
        <w:spacing w:line="240" w:lineRule="auto"/>
        <w:rPr>
          <w:b/>
          <w:sz w:val="24"/>
          <w:szCs w:val="24"/>
        </w:rPr>
      </w:pPr>
      <w:r>
        <w:rPr>
          <w:b/>
          <w:sz w:val="24"/>
          <w:szCs w:val="24"/>
        </w:rPr>
        <w:t xml:space="preserve">Usnesení zastupitelstva města č. </w:t>
      </w:r>
      <w:r w:rsidR="007B32B5">
        <w:rPr>
          <w:b/>
          <w:sz w:val="24"/>
          <w:szCs w:val="24"/>
        </w:rPr>
        <w:t xml:space="preserve"> </w:t>
      </w:r>
      <w:r w:rsidR="009774BE">
        <w:rPr>
          <w:b/>
          <w:sz w:val="24"/>
          <w:szCs w:val="24"/>
        </w:rPr>
        <w:t xml:space="preserve"> </w:t>
      </w:r>
      <w:r w:rsidR="00C93283">
        <w:rPr>
          <w:b/>
          <w:sz w:val="24"/>
          <w:szCs w:val="24"/>
        </w:rPr>
        <w:t xml:space="preserve"> </w:t>
      </w:r>
      <w:r w:rsidR="00127BB0">
        <w:rPr>
          <w:b/>
          <w:sz w:val="24"/>
          <w:szCs w:val="24"/>
        </w:rPr>
        <w:t>72/2019</w:t>
      </w:r>
    </w:p>
    <w:p w:rsidR="00836927" w:rsidRDefault="00F6499D" w:rsidP="00625B73">
      <w:pPr>
        <w:jc w:val="both"/>
      </w:pPr>
      <w:r>
        <w:t xml:space="preserve"> </w:t>
      </w:r>
    </w:p>
    <w:p w:rsidR="00F6499D" w:rsidRDefault="00F6499D" w:rsidP="00625B73">
      <w:pPr>
        <w:jc w:val="both"/>
      </w:pPr>
    </w:p>
    <w:p w:rsidR="00836927" w:rsidRDefault="00836927"/>
    <w:p w:rsidR="000B5F4E" w:rsidRPr="000B5F4E" w:rsidRDefault="000B5F4E">
      <w:pPr>
        <w:rPr>
          <w:b/>
          <w:sz w:val="28"/>
          <w:szCs w:val="28"/>
        </w:rPr>
      </w:pPr>
      <w:r w:rsidRPr="000B5F4E">
        <w:rPr>
          <w:b/>
          <w:sz w:val="28"/>
          <w:szCs w:val="28"/>
        </w:rPr>
        <w:lastRenderedPageBreak/>
        <w:t>Střednědobý výhled rozpočtu na roky 20</w:t>
      </w:r>
      <w:r w:rsidR="009774BE">
        <w:rPr>
          <w:b/>
          <w:sz w:val="28"/>
          <w:szCs w:val="28"/>
        </w:rPr>
        <w:t>2</w:t>
      </w:r>
      <w:r w:rsidR="00C93283">
        <w:rPr>
          <w:b/>
          <w:sz w:val="28"/>
          <w:szCs w:val="28"/>
        </w:rPr>
        <w:t>1</w:t>
      </w:r>
      <w:r w:rsidRPr="000B5F4E">
        <w:rPr>
          <w:b/>
          <w:sz w:val="28"/>
          <w:szCs w:val="28"/>
        </w:rPr>
        <w:t>-202</w:t>
      </w:r>
      <w:r w:rsidR="00C93283">
        <w:rPr>
          <w:b/>
          <w:sz w:val="28"/>
          <w:szCs w:val="28"/>
        </w:rPr>
        <w:t>2</w:t>
      </w:r>
      <w:r w:rsidRPr="000B5F4E">
        <w:rPr>
          <w:b/>
          <w:sz w:val="28"/>
          <w:szCs w:val="28"/>
        </w:rPr>
        <w:t xml:space="preserve"> </w:t>
      </w:r>
    </w:p>
    <w:p w:rsidR="00836927" w:rsidRDefault="000B5F4E">
      <w:r>
        <w:t xml:space="preserve"> informace podle zákona č. 250/2000 Sb., §3, v tis Kč</w:t>
      </w:r>
    </w:p>
    <w:tbl>
      <w:tblPr>
        <w:tblW w:w="9300" w:type="dxa"/>
        <w:tblInd w:w="55" w:type="dxa"/>
        <w:tblCellMar>
          <w:left w:w="70" w:type="dxa"/>
          <w:right w:w="70" w:type="dxa"/>
        </w:tblCellMar>
        <w:tblLook w:val="04A0" w:firstRow="1" w:lastRow="0" w:firstColumn="1" w:lastColumn="0" w:noHBand="0" w:noVBand="1"/>
      </w:tblPr>
      <w:tblGrid>
        <w:gridCol w:w="2440"/>
        <w:gridCol w:w="4120"/>
        <w:gridCol w:w="1420"/>
        <w:gridCol w:w="1320"/>
      </w:tblGrid>
      <w:tr w:rsidR="00E2528D" w:rsidRPr="00E2528D" w:rsidTr="00E2528D">
        <w:trPr>
          <w:trHeight w:val="390"/>
        </w:trPr>
        <w:tc>
          <w:tcPr>
            <w:tcW w:w="2440" w:type="dxa"/>
            <w:tcBorders>
              <w:top w:val="single" w:sz="8" w:space="0" w:color="auto"/>
              <w:left w:val="single" w:sz="8" w:space="0" w:color="auto"/>
              <w:bottom w:val="single" w:sz="8" w:space="0" w:color="auto"/>
              <w:right w:val="single" w:sz="8" w:space="0" w:color="auto"/>
            </w:tcBorders>
            <w:shd w:val="clear" w:color="000000" w:fill="FFC000"/>
            <w:noWrap/>
            <w:vAlign w:val="bottom"/>
            <w:hideMark/>
          </w:tcPr>
          <w:p w:rsidR="00E2528D" w:rsidRPr="00E2528D" w:rsidRDefault="00E2528D" w:rsidP="00E2528D">
            <w:pPr>
              <w:spacing w:after="0" w:line="240" w:lineRule="auto"/>
              <w:rPr>
                <w:rFonts w:ascii="Calibri" w:eastAsia="Times New Roman" w:hAnsi="Calibri" w:cs="Calibri"/>
                <w:b/>
                <w:bCs/>
                <w:color w:val="000000"/>
                <w:sz w:val="28"/>
                <w:szCs w:val="28"/>
                <w:lang w:eastAsia="cs-CZ"/>
              </w:rPr>
            </w:pPr>
            <w:r w:rsidRPr="00E2528D">
              <w:rPr>
                <w:rFonts w:ascii="Calibri" w:eastAsia="Times New Roman" w:hAnsi="Calibri" w:cs="Calibri"/>
                <w:b/>
                <w:bCs/>
                <w:color w:val="000000"/>
                <w:sz w:val="28"/>
                <w:szCs w:val="28"/>
                <w:lang w:eastAsia="cs-CZ"/>
              </w:rPr>
              <w:t xml:space="preserve">Střednědobý výhled rozpočtu - </w:t>
            </w:r>
            <w:r w:rsidRPr="00E2528D">
              <w:rPr>
                <w:rFonts w:ascii="Calibri" w:eastAsia="Times New Roman" w:hAnsi="Calibri" w:cs="Calibri"/>
                <w:b/>
                <w:bCs/>
                <w:color w:val="000000"/>
                <w:sz w:val="18"/>
                <w:szCs w:val="18"/>
                <w:lang w:eastAsia="cs-CZ"/>
              </w:rPr>
              <w:t xml:space="preserve">informace podle zákona č. 250/2000 Sb. §3 v </w:t>
            </w:r>
            <w:proofErr w:type="spellStart"/>
            <w:proofErr w:type="gramStart"/>
            <w:r w:rsidRPr="00E2528D">
              <w:rPr>
                <w:rFonts w:ascii="Calibri" w:eastAsia="Times New Roman" w:hAnsi="Calibri" w:cs="Calibri"/>
                <w:b/>
                <w:bCs/>
                <w:color w:val="000000"/>
                <w:sz w:val="18"/>
                <w:szCs w:val="18"/>
                <w:lang w:eastAsia="cs-CZ"/>
              </w:rPr>
              <w:t>tis.Kč</w:t>
            </w:r>
            <w:proofErr w:type="spellEnd"/>
            <w:proofErr w:type="gramEnd"/>
            <w:r w:rsidRPr="00E2528D">
              <w:rPr>
                <w:rFonts w:ascii="Calibri" w:eastAsia="Times New Roman" w:hAnsi="Calibri" w:cs="Calibri"/>
                <w:b/>
                <w:bCs/>
                <w:color w:val="000000"/>
                <w:sz w:val="18"/>
                <w:szCs w:val="18"/>
                <w:lang w:eastAsia="cs-CZ"/>
              </w:rPr>
              <w:t xml:space="preserve">.    </w:t>
            </w:r>
            <w:r w:rsidRPr="00E2528D">
              <w:rPr>
                <w:rFonts w:ascii="Calibri" w:eastAsia="Times New Roman" w:hAnsi="Calibri" w:cs="Calibri"/>
                <w:b/>
                <w:bCs/>
                <w:color w:val="000000"/>
                <w:sz w:val="28"/>
                <w:szCs w:val="28"/>
                <w:lang w:eastAsia="cs-CZ"/>
              </w:rPr>
              <w:t xml:space="preserve">           </w:t>
            </w:r>
          </w:p>
        </w:tc>
        <w:tc>
          <w:tcPr>
            <w:tcW w:w="4120" w:type="dxa"/>
            <w:tcBorders>
              <w:top w:val="single" w:sz="8" w:space="0" w:color="auto"/>
              <w:left w:val="nil"/>
              <w:bottom w:val="single" w:sz="8" w:space="0" w:color="auto"/>
              <w:right w:val="single" w:sz="8" w:space="0" w:color="auto"/>
            </w:tcBorders>
            <w:shd w:val="clear" w:color="000000" w:fill="FFC000"/>
            <w:noWrap/>
            <w:vAlign w:val="bottom"/>
            <w:hideMark/>
          </w:tcPr>
          <w:p w:rsidR="00E2528D" w:rsidRPr="00E2528D" w:rsidRDefault="00E2528D" w:rsidP="00E2528D">
            <w:pPr>
              <w:spacing w:after="0" w:line="240" w:lineRule="auto"/>
              <w:rPr>
                <w:rFonts w:ascii="Calibri" w:eastAsia="Times New Roman" w:hAnsi="Calibri" w:cs="Calibri"/>
                <w:b/>
                <w:bCs/>
                <w:color w:val="000000"/>
                <w:sz w:val="28"/>
                <w:szCs w:val="28"/>
                <w:lang w:eastAsia="cs-CZ"/>
              </w:rPr>
            </w:pPr>
            <w:r w:rsidRPr="00E2528D">
              <w:rPr>
                <w:rFonts w:ascii="Calibri" w:eastAsia="Times New Roman" w:hAnsi="Calibri" w:cs="Calibri"/>
                <w:b/>
                <w:bCs/>
                <w:color w:val="000000"/>
                <w:sz w:val="28"/>
                <w:szCs w:val="28"/>
                <w:lang w:eastAsia="cs-CZ"/>
              </w:rPr>
              <w:t> </w:t>
            </w:r>
          </w:p>
        </w:tc>
        <w:tc>
          <w:tcPr>
            <w:tcW w:w="1420" w:type="dxa"/>
            <w:tcBorders>
              <w:top w:val="single" w:sz="8" w:space="0" w:color="auto"/>
              <w:left w:val="nil"/>
              <w:bottom w:val="single" w:sz="8" w:space="0" w:color="auto"/>
              <w:right w:val="single" w:sz="8" w:space="0" w:color="auto"/>
            </w:tcBorders>
            <w:shd w:val="clear" w:color="000000" w:fill="FFC000"/>
            <w:noWrap/>
            <w:vAlign w:val="bottom"/>
            <w:hideMark/>
          </w:tcPr>
          <w:p w:rsidR="00E2528D" w:rsidRPr="00E2528D" w:rsidRDefault="00E2528D" w:rsidP="00E2528D">
            <w:pPr>
              <w:spacing w:after="0" w:line="240" w:lineRule="auto"/>
              <w:rPr>
                <w:rFonts w:ascii="Calibri" w:eastAsia="Times New Roman" w:hAnsi="Calibri" w:cs="Calibri"/>
                <w:b/>
                <w:bCs/>
                <w:color w:val="000000"/>
                <w:sz w:val="28"/>
                <w:szCs w:val="28"/>
                <w:lang w:eastAsia="cs-CZ"/>
              </w:rPr>
            </w:pPr>
            <w:r w:rsidRPr="00E2528D">
              <w:rPr>
                <w:rFonts w:ascii="Calibri" w:eastAsia="Times New Roman" w:hAnsi="Calibri" w:cs="Calibri"/>
                <w:b/>
                <w:bCs/>
                <w:color w:val="000000"/>
                <w:sz w:val="28"/>
                <w:szCs w:val="28"/>
                <w:lang w:eastAsia="cs-CZ"/>
              </w:rPr>
              <w:t> </w:t>
            </w:r>
          </w:p>
        </w:tc>
        <w:tc>
          <w:tcPr>
            <w:tcW w:w="1320" w:type="dxa"/>
            <w:tcBorders>
              <w:top w:val="single" w:sz="8" w:space="0" w:color="auto"/>
              <w:left w:val="nil"/>
              <w:bottom w:val="single" w:sz="8" w:space="0" w:color="auto"/>
              <w:right w:val="single" w:sz="4" w:space="0" w:color="auto"/>
            </w:tcBorders>
            <w:shd w:val="clear" w:color="000000" w:fill="FFC000"/>
            <w:noWrap/>
            <w:vAlign w:val="bottom"/>
            <w:hideMark/>
          </w:tcPr>
          <w:p w:rsidR="00E2528D" w:rsidRPr="00E2528D" w:rsidRDefault="00E2528D" w:rsidP="00E2528D">
            <w:pPr>
              <w:spacing w:after="0" w:line="240" w:lineRule="auto"/>
              <w:rPr>
                <w:rFonts w:ascii="Calibri" w:eastAsia="Times New Roman" w:hAnsi="Calibri" w:cs="Calibri"/>
                <w:b/>
                <w:bCs/>
                <w:color w:val="000000"/>
                <w:sz w:val="28"/>
                <w:szCs w:val="28"/>
                <w:lang w:eastAsia="cs-CZ"/>
              </w:rPr>
            </w:pPr>
            <w:r w:rsidRPr="00E2528D">
              <w:rPr>
                <w:rFonts w:ascii="Calibri" w:eastAsia="Times New Roman" w:hAnsi="Calibri" w:cs="Calibri"/>
                <w:b/>
                <w:bCs/>
                <w:color w:val="000000"/>
                <w:sz w:val="28"/>
                <w:szCs w:val="28"/>
                <w:lang w:eastAsia="cs-CZ"/>
              </w:rPr>
              <w:t> </w:t>
            </w:r>
          </w:p>
        </w:tc>
      </w:tr>
      <w:tr w:rsidR="00E2528D" w:rsidRPr="00E2528D" w:rsidTr="00E2528D">
        <w:trPr>
          <w:trHeight w:val="300"/>
        </w:trPr>
        <w:tc>
          <w:tcPr>
            <w:tcW w:w="2440" w:type="dxa"/>
            <w:tcBorders>
              <w:top w:val="nil"/>
              <w:left w:val="single" w:sz="8" w:space="0" w:color="auto"/>
              <w:bottom w:val="nil"/>
              <w:right w:val="single" w:sz="8" w:space="0" w:color="auto"/>
            </w:tcBorders>
            <w:shd w:val="clear" w:color="000000" w:fill="FFFF00"/>
            <w:noWrap/>
            <w:vAlign w:val="bottom"/>
            <w:hideMark/>
          </w:tcPr>
          <w:p w:rsidR="00E2528D" w:rsidRPr="00E2528D" w:rsidRDefault="00E2528D" w:rsidP="00E2528D">
            <w:pPr>
              <w:spacing w:after="0" w:line="240" w:lineRule="auto"/>
              <w:rPr>
                <w:rFonts w:ascii="Calibri" w:eastAsia="Times New Roman" w:hAnsi="Calibri" w:cs="Calibri"/>
                <w:b/>
                <w:bCs/>
                <w:color w:val="000000"/>
                <w:lang w:eastAsia="cs-CZ"/>
              </w:rPr>
            </w:pPr>
            <w:r w:rsidRPr="00E2528D">
              <w:rPr>
                <w:rFonts w:ascii="Calibri" w:eastAsia="Times New Roman" w:hAnsi="Calibri" w:cs="Calibri"/>
                <w:b/>
                <w:bCs/>
                <w:color w:val="000000"/>
                <w:lang w:eastAsia="cs-CZ"/>
              </w:rPr>
              <w:t xml:space="preserve">Druhové třídění </w:t>
            </w:r>
            <w:proofErr w:type="gramStart"/>
            <w:r w:rsidRPr="00E2528D">
              <w:rPr>
                <w:rFonts w:ascii="Calibri" w:eastAsia="Times New Roman" w:hAnsi="Calibri" w:cs="Calibri"/>
                <w:b/>
                <w:bCs/>
                <w:color w:val="000000"/>
                <w:lang w:eastAsia="cs-CZ"/>
              </w:rPr>
              <w:t>dle</w:t>
            </w:r>
            <w:proofErr w:type="gramEnd"/>
          </w:p>
        </w:tc>
        <w:tc>
          <w:tcPr>
            <w:tcW w:w="4120" w:type="dxa"/>
            <w:tcBorders>
              <w:top w:val="nil"/>
              <w:left w:val="nil"/>
              <w:bottom w:val="nil"/>
              <w:right w:val="single" w:sz="8" w:space="0" w:color="auto"/>
            </w:tcBorders>
            <w:shd w:val="clear" w:color="000000" w:fill="FFFF00"/>
            <w:noWrap/>
            <w:vAlign w:val="bottom"/>
            <w:hideMark/>
          </w:tcPr>
          <w:p w:rsidR="00E2528D" w:rsidRPr="00E2528D" w:rsidRDefault="00E2528D" w:rsidP="00E2528D">
            <w:pPr>
              <w:spacing w:after="0" w:line="240" w:lineRule="auto"/>
              <w:jc w:val="center"/>
              <w:rPr>
                <w:rFonts w:ascii="Calibri" w:eastAsia="Times New Roman" w:hAnsi="Calibri" w:cs="Calibri"/>
                <w:b/>
                <w:bCs/>
                <w:color w:val="000000"/>
                <w:lang w:eastAsia="cs-CZ"/>
              </w:rPr>
            </w:pPr>
            <w:r w:rsidRPr="00E2528D">
              <w:rPr>
                <w:rFonts w:ascii="Calibri" w:eastAsia="Times New Roman" w:hAnsi="Calibri" w:cs="Calibri"/>
                <w:b/>
                <w:bCs/>
                <w:color w:val="000000"/>
                <w:lang w:eastAsia="cs-CZ"/>
              </w:rPr>
              <w:t>Údaj</w:t>
            </w:r>
          </w:p>
        </w:tc>
        <w:tc>
          <w:tcPr>
            <w:tcW w:w="1420" w:type="dxa"/>
            <w:tcBorders>
              <w:top w:val="nil"/>
              <w:left w:val="nil"/>
              <w:bottom w:val="nil"/>
              <w:right w:val="single" w:sz="8" w:space="0" w:color="auto"/>
            </w:tcBorders>
            <w:shd w:val="clear" w:color="000000" w:fill="FFFF00"/>
            <w:noWrap/>
            <w:vAlign w:val="bottom"/>
            <w:hideMark/>
          </w:tcPr>
          <w:p w:rsidR="00E2528D" w:rsidRPr="00E2528D" w:rsidRDefault="00E2528D" w:rsidP="00E2528D">
            <w:pPr>
              <w:spacing w:after="0" w:line="240" w:lineRule="auto"/>
              <w:jc w:val="center"/>
              <w:rPr>
                <w:rFonts w:ascii="Calibri" w:eastAsia="Times New Roman" w:hAnsi="Calibri" w:cs="Calibri"/>
                <w:b/>
                <w:bCs/>
                <w:color w:val="000000"/>
                <w:lang w:eastAsia="cs-CZ"/>
              </w:rPr>
            </w:pPr>
            <w:r w:rsidRPr="00E2528D">
              <w:rPr>
                <w:rFonts w:ascii="Calibri" w:eastAsia="Times New Roman" w:hAnsi="Calibri" w:cs="Calibri"/>
                <w:b/>
                <w:bCs/>
                <w:color w:val="000000"/>
                <w:lang w:eastAsia="cs-CZ"/>
              </w:rPr>
              <w:t>2021</w:t>
            </w:r>
          </w:p>
        </w:tc>
        <w:tc>
          <w:tcPr>
            <w:tcW w:w="1320" w:type="dxa"/>
            <w:tcBorders>
              <w:top w:val="nil"/>
              <w:left w:val="nil"/>
              <w:bottom w:val="nil"/>
              <w:right w:val="single" w:sz="8" w:space="0" w:color="auto"/>
            </w:tcBorders>
            <w:shd w:val="clear" w:color="000000" w:fill="FFFF00"/>
            <w:noWrap/>
            <w:vAlign w:val="bottom"/>
            <w:hideMark/>
          </w:tcPr>
          <w:p w:rsidR="00E2528D" w:rsidRPr="00E2528D" w:rsidRDefault="00E2528D" w:rsidP="00E2528D">
            <w:pPr>
              <w:spacing w:after="0" w:line="240" w:lineRule="auto"/>
              <w:jc w:val="center"/>
              <w:rPr>
                <w:rFonts w:ascii="Calibri" w:eastAsia="Times New Roman" w:hAnsi="Calibri" w:cs="Calibri"/>
                <w:b/>
                <w:bCs/>
                <w:color w:val="000000"/>
                <w:lang w:eastAsia="cs-CZ"/>
              </w:rPr>
            </w:pPr>
            <w:r w:rsidRPr="00E2528D">
              <w:rPr>
                <w:rFonts w:ascii="Calibri" w:eastAsia="Times New Roman" w:hAnsi="Calibri" w:cs="Calibri"/>
                <w:b/>
                <w:bCs/>
                <w:color w:val="000000"/>
                <w:lang w:eastAsia="cs-CZ"/>
              </w:rPr>
              <w:t>2022</w:t>
            </w:r>
          </w:p>
        </w:tc>
      </w:tr>
      <w:tr w:rsidR="00E2528D" w:rsidRPr="00E2528D" w:rsidTr="00E2528D">
        <w:trPr>
          <w:trHeight w:val="300"/>
        </w:trPr>
        <w:tc>
          <w:tcPr>
            <w:tcW w:w="2440" w:type="dxa"/>
            <w:tcBorders>
              <w:top w:val="nil"/>
              <w:left w:val="single" w:sz="8" w:space="0" w:color="auto"/>
              <w:bottom w:val="nil"/>
              <w:right w:val="single" w:sz="8" w:space="0" w:color="auto"/>
            </w:tcBorders>
            <w:shd w:val="clear" w:color="000000" w:fill="FFFF00"/>
            <w:noWrap/>
            <w:vAlign w:val="bottom"/>
            <w:hideMark/>
          </w:tcPr>
          <w:p w:rsidR="00E2528D" w:rsidRPr="00E2528D" w:rsidRDefault="00E2528D" w:rsidP="00E2528D">
            <w:pPr>
              <w:spacing w:after="0" w:line="240" w:lineRule="auto"/>
              <w:rPr>
                <w:rFonts w:ascii="Calibri" w:eastAsia="Times New Roman" w:hAnsi="Calibri" w:cs="Calibri"/>
                <w:b/>
                <w:bCs/>
                <w:color w:val="000000"/>
                <w:lang w:eastAsia="cs-CZ"/>
              </w:rPr>
            </w:pPr>
            <w:r w:rsidRPr="00E2528D">
              <w:rPr>
                <w:rFonts w:ascii="Calibri" w:eastAsia="Times New Roman" w:hAnsi="Calibri" w:cs="Calibri"/>
                <w:b/>
                <w:bCs/>
                <w:color w:val="000000"/>
                <w:lang w:eastAsia="cs-CZ"/>
              </w:rPr>
              <w:t>rozpočtové skladby</w:t>
            </w:r>
          </w:p>
        </w:tc>
        <w:tc>
          <w:tcPr>
            <w:tcW w:w="4120" w:type="dxa"/>
            <w:tcBorders>
              <w:top w:val="nil"/>
              <w:left w:val="nil"/>
              <w:bottom w:val="nil"/>
              <w:right w:val="single" w:sz="8" w:space="0" w:color="auto"/>
            </w:tcBorders>
            <w:shd w:val="clear" w:color="000000" w:fill="FFFF00"/>
            <w:noWrap/>
            <w:vAlign w:val="bottom"/>
            <w:hideMark/>
          </w:tcPr>
          <w:p w:rsidR="00E2528D" w:rsidRPr="00E2528D" w:rsidRDefault="00E2528D" w:rsidP="00E2528D">
            <w:pPr>
              <w:spacing w:after="0" w:line="240" w:lineRule="auto"/>
              <w:jc w:val="center"/>
              <w:rPr>
                <w:rFonts w:ascii="Calibri" w:eastAsia="Times New Roman" w:hAnsi="Calibri" w:cs="Calibri"/>
                <w:b/>
                <w:bCs/>
                <w:color w:val="000000"/>
                <w:lang w:eastAsia="cs-CZ"/>
              </w:rPr>
            </w:pPr>
            <w:r w:rsidRPr="00E2528D">
              <w:rPr>
                <w:rFonts w:ascii="Calibri" w:eastAsia="Times New Roman" w:hAnsi="Calibri" w:cs="Calibri"/>
                <w:b/>
                <w:bCs/>
                <w:color w:val="000000"/>
                <w:lang w:eastAsia="cs-CZ"/>
              </w:rPr>
              <w:t> </w:t>
            </w:r>
          </w:p>
        </w:tc>
        <w:tc>
          <w:tcPr>
            <w:tcW w:w="1420" w:type="dxa"/>
            <w:tcBorders>
              <w:top w:val="nil"/>
              <w:left w:val="nil"/>
              <w:bottom w:val="nil"/>
              <w:right w:val="single" w:sz="8" w:space="0" w:color="auto"/>
            </w:tcBorders>
            <w:shd w:val="clear" w:color="000000" w:fill="FFFF00"/>
            <w:noWrap/>
            <w:vAlign w:val="bottom"/>
            <w:hideMark/>
          </w:tcPr>
          <w:p w:rsidR="00E2528D" w:rsidRPr="00E2528D" w:rsidRDefault="00E2528D" w:rsidP="00E2528D">
            <w:pPr>
              <w:spacing w:after="0" w:line="240" w:lineRule="auto"/>
              <w:jc w:val="center"/>
              <w:rPr>
                <w:rFonts w:ascii="Calibri" w:eastAsia="Times New Roman" w:hAnsi="Calibri" w:cs="Calibri"/>
                <w:b/>
                <w:bCs/>
                <w:color w:val="000000"/>
                <w:lang w:eastAsia="cs-CZ"/>
              </w:rPr>
            </w:pPr>
            <w:r w:rsidRPr="00E2528D">
              <w:rPr>
                <w:rFonts w:ascii="Calibri" w:eastAsia="Times New Roman" w:hAnsi="Calibri" w:cs="Calibri"/>
                <w:b/>
                <w:bCs/>
                <w:color w:val="000000"/>
                <w:lang w:eastAsia="cs-CZ"/>
              </w:rPr>
              <w:t> </w:t>
            </w:r>
          </w:p>
        </w:tc>
        <w:tc>
          <w:tcPr>
            <w:tcW w:w="1320" w:type="dxa"/>
            <w:tcBorders>
              <w:top w:val="nil"/>
              <w:left w:val="nil"/>
              <w:bottom w:val="nil"/>
              <w:right w:val="single" w:sz="8" w:space="0" w:color="auto"/>
            </w:tcBorders>
            <w:shd w:val="clear" w:color="000000" w:fill="FFFF00"/>
            <w:noWrap/>
            <w:vAlign w:val="bottom"/>
            <w:hideMark/>
          </w:tcPr>
          <w:p w:rsidR="00E2528D" w:rsidRPr="00E2528D" w:rsidRDefault="00E2528D" w:rsidP="00E2528D">
            <w:pPr>
              <w:spacing w:after="0" w:line="240" w:lineRule="auto"/>
              <w:jc w:val="center"/>
              <w:rPr>
                <w:rFonts w:ascii="Calibri" w:eastAsia="Times New Roman" w:hAnsi="Calibri" w:cs="Calibri"/>
                <w:b/>
                <w:bCs/>
                <w:color w:val="000000"/>
                <w:lang w:eastAsia="cs-CZ"/>
              </w:rPr>
            </w:pPr>
            <w:r w:rsidRPr="00E2528D">
              <w:rPr>
                <w:rFonts w:ascii="Calibri" w:eastAsia="Times New Roman" w:hAnsi="Calibri" w:cs="Calibri"/>
                <w:b/>
                <w:bCs/>
                <w:color w:val="000000"/>
                <w:lang w:eastAsia="cs-CZ"/>
              </w:rPr>
              <w:t> </w:t>
            </w:r>
          </w:p>
        </w:tc>
      </w:tr>
      <w:tr w:rsidR="00E2528D" w:rsidRPr="00E2528D" w:rsidTr="00E2528D">
        <w:trPr>
          <w:trHeight w:val="315"/>
        </w:trPr>
        <w:tc>
          <w:tcPr>
            <w:tcW w:w="2440" w:type="dxa"/>
            <w:tcBorders>
              <w:top w:val="single" w:sz="4" w:space="0" w:color="auto"/>
              <w:left w:val="single" w:sz="4" w:space="0" w:color="auto"/>
              <w:bottom w:val="nil"/>
              <w:right w:val="single" w:sz="4" w:space="0" w:color="auto"/>
            </w:tcBorders>
            <w:shd w:val="clear" w:color="auto" w:fill="auto"/>
            <w:noWrap/>
            <w:vAlign w:val="bottom"/>
            <w:hideMark/>
          </w:tcPr>
          <w:p w:rsidR="00E2528D" w:rsidRPr="00E2528D" w:rsidRDefault="00E2528D" w:rsidP="00E2528D">
            <w:pPr>
              <w:spacing w:after="0" w:line="240" w:lineRule="auto"/>
              <w:rPr>
                <w:rFonts w:ascii="Calibri" w:eastAsia="Times New Roman" w:hAnsi="Calibri" w:cs="Calibri"/>
                <w:color w:val="000000"/>
                <w:sz w:val="24"/>
                <w:szCs w:val="24"/>
                <w:lang w:eastAsia="cs-CZ"/>
              </w:rPr>
            </w:pPr>
            <w:r w:rsidRPr="00E2528D">
              <w:rPr>
                <w:rFonts w:ascii="Calibri" w:eastAsia="Times New Roman" w:hAnsi="Calibri" w:cs="Calibri"/>
                <w:color w:val="000000"/>
                <w:sz w:val="24"/>
                <w:szCs w:val="24"/>
                <w:lang w:eastAsia="cs-CZ"/>
              </w:rPr>
              <w:t>Třída 1</w:t>
            </w:r>
          </w:p>
        </w:tc>
        <w:tc>
          <w:tcPr>
            <w:tcW w:w="4120" w:type="dxa"/>
            <w:tcBorders>
              <w:top w:val="single" w:sz="4" w:space="0" w:color="auto"/>
              <w:left w:val="nil"/>
              <w:bottom w:val="single" w:sz="4" w:space="0" w:color="auto"/>
              <w:right w:val="single" w:sz="4" w:space="0" w:color="auto"/>
            </w:tcBorders>
            <w:shd w:val="clear" w:color="auto" w:fill="auto"/>
            <w:noWrap/>
            <w:vAlign w:val="bottom"/>
            <w:hideMark/>
          </w:tcPr>
          <w:p w:rsidR="00E2528D" w:rsidRPr="00E2528D" w:rsidRDefault="00E2528D" w:rsidP="00E2528D">
            <w:pPr>
              <w:spacing w:after="0" w:line="240" w:lineRule="auto"/>
              <w:rPr>
                <w:rFonts w:ascii="Calibri" w:eastAsia="Times New Roman" w:hAnsi="Calibri" w:cs="Calibri"/>
                <w:color w:val="000000"/>
                <w:sz w:val="24"/>
                <w:szCs w:val="24"/>
                <w:lang w:eastAsia="cs-CZ"/>
              </w:rPr>
            </w:pPr>
            <w:r w:rsidRPr="00E2528D">
              <w:rPr>
                <w:rFonts w:ascii="Calibri" w:eastAsia="Times New Roman" w:hAnsi="Calibri" w:cs="Calibri"/>
                <w:color w:val="000000"/>
                <w:sz w:val="24"/>
                <w:szCs w:val="24"/>
                <w:lang w:eastAsia="cs-CZ"/>
              </w:rPr>
              <w:t xml:space="preserve">Sdílené </w:t>
            </w:r>
            <w:proofErr w:type="gramStart"/>
            <w:r w:rsidRPr="00E2528D">
              <w:rPr>
                <w:rFonts w:ascii="Calibri" w:eastAsia="Times New Roman" w:hAnsi="Calibri" w:cs="Calibri"/>
                <w:color w:val="000000"/>
                <w:sz w:val="24"/>
                <w:szCs w:val="24"/>
                <w:lang w:eastAsia="cs-CZ"/>
              </w:rPr>
              <w:t>daně           (</w:t>
            </w:r>
            <w:proofErr w:type="spellStart"/>
            <w:r w:rsidRPr="00E2528D">
              <w:rPr>
                <w:rFonts w:ascii="Calibri" w:eastAsia="Times New Roman" w:hAnsi="Calibri" w:cs="Calibri"/>
                <w:color w:val="000000"/>
                <w:sz w:val="24"/>
                <w:szCs w:val="24"/>
                <w:lang w:eastAsia="cs-CZ"/>
              </w:rPr>
              <w:t>Pol</w:t>
            </w:r>
            <w:proofErr w:type="spellEnd"/>
            <w:proofErr w:type="gramEnd"/>
            <w:r w:rsidRPr="00E2528D">
              <w:rPr>
                <w:rFonts w:ascii="Calibri" w:eastAsia="Times New Roman" w:hAnsi="Calibri" w:cs="Calibri"/>
                <w:color w:val="000000"/>
                <w:sz w:val="24"/>
                <w:szCs w:val="24"/>
                <w:lang w:eastAsia="cs-CZ"/>
              </w:rPr>
              <w:t>: 11xx-12xx)</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rsidR="00E2528D" w:rsidRPr="00E2528D" w:rsidRDefault="00E2528D" w:rsidP="00E2528D">
            <w:pPr>
              <w:spacing w:after="0" w:line="240" w:lineRule="auto"/>
              <w:jc w:val="right"/>
              <w:rPr>
                <w:rFonts w:ascii="Calibri" w:eastAsia="Times New Roman" w:hAnsi="Calibri" w:cs="Calibri"/>
                <w:color w:val="000000"/>
                <w:sz w:val="24"/>
                <w:szCs w:val="24"/>
                <w:lang w:eastAsia="cs-CZ"/>
              </w:rPr>
            </w:pPr>
            <w:r w:rsidRPr="00E2528D">
              <w:rPr>
                <w:rFonts w:ascii="Calibri" w:eastAsia="Times New Roman" w:hAnsi="Calibri" w:cs="Calibri"/>
                <w:color w:val="000000"/>
                <w:sz w:val="24"/>
                <w:szCs w:val="24"/>
                <w:lang w:eastAsia="cs-CZ"/>
              </w:rPr>
              <w:t>45000</w:t>
            </w:r>
          </w:p>
        </w:tc>
        <w:tc>
          <w:tcPr>
            <w:tcW w:w="1320" w:type="dxa"/>
            <w:tcBorders>
              <w:top w:val="single" w:sz="4" w:space="0" w:color="auto"/>
              <w:left w:val="nil"/>
              <w:bottom w:val="single" w:sz="4" w:space="0" w:color="auto"/>
              <w:right w:val="single" w:sz="4" w:space="0" w:color="auto"/>
            </w:tcBorders>
            <w:shd w:val="clear" w:color="auto" w:fill="auto"/>
            <w:noWrap/>
            <w:vAlign w:val="bottom"/>
            <w:hideMark/>
          </w:tcPr>
          <w:p w:rsidR="00E2528D" w:rsidRPr="00E2528D" w:rsidRDefault="00E2528D" w:rsidP="00E2528D">
            <w:pPr>
              <w:spacing w:after="0" w:line="240" w:lineRule="auto"/>
              <w:jc w:val="right"/>
              <w:rPr>
                <w:rFonts w:ascii="Calibri" w:eastAsia="Times New Roman" w:hAnsi="Calibri" w:cs="Calibri"/>
                <w:color w:val="000000"/>
                <w:sz w:val="24"/>
                <w:szCs w:val="24"/>
                <w:lang w:eastAsia="cs-CZ"/>
              </w:rPr>
            </w:pPr>
            <w:r w:rsidRPr="00E2528D">
              <w:rPr>
                <w:rFonts w:ascii="Calibri" w:eastAsia="Times New Roman" w:hAnsi="Calibri" w:cs="Calibri"/>
                <w:color w:val="000000"/>
                <w:sz w:val="24"/>
                <w:szCs w:val="24"/>
                <w:lang w:eastAsia="cs-CZ"/>
              </w:rPr>
              <w:t>44200</w:t>
            </w:r>
          </w:p>
        </w:tc>
      </w:tr>
      <w:tr w:rsidR="00E2528D" w:rsidRPr="00E2528D" w:rsidTr="00E2528D">
        <w:trPr>
          <w:trHeight w:val="315"/>
        </w:trPr>
        <w:tc>
          <w:tcPr>
            <w:tcW w:w="2440" w:type="dxa"/>
            <w:tcBorders>
              <w:top w:val="nil"/>
              <w:left w:val="single" w:sz="4" w:space="0" w:color="auto"/>
              <w:bottom w:val="nil"/>
              <w:right w:val="single" w:sz="4" w:space="0" w:color="auto"/>
            </w:tcBorders>
            <w:shd w:val="clear" w:color="auto" w:fill="auto"/>
            <w:noWrap/>
            <w:vAlign w:val="bottom"/>
            <w:hideMark/>
          </w:tcPr>
          <w:p w:rsidR="00E2528D" w:rsidRPr="00E2528D" w:rsidRDefault="00E2528D" w:rsidP="00E2528D">
            <w:pPr>
              <w:spacing w:after="0" w:line="240" w:lineRule="auto"/>
              <w:rPr>
                <w:rFonts w:ascii="Calibri" w:eastAsia="Times New Roman" w:hAnsi="Calibri" w:cs="Calibri"/>
                <w:color w:val="000000"/>
                <w:sz w:val="24"/>
                <w:szCs w:val="24"/>
                <w:lang w:eastAsia="cs-CZ"/>
              </w:rPr>
            </w:pPr>
            <w:r w:rsidRPr="00E2528D">
              <w:rPr>
                <w:rFonts w:ascii="Calibri" w:eastAsia="Times New Roman" w:hAnsi="Calibri" w:cs="Calibri"/>
                <w:color w:val="000000"/>
                <w:sz w:val="24"/>
                <w:szCs w:val="24"/>
                <w:lang w:eastAsia="cs-CZ"/>
              </w:rPr>
              <w:t>Daňové příjmy</w:t>
            </w:r>
          </w:p>
        </w:tc>
        <w:tc>
          <w:tcPr>
            <w:tcW w:w="4120" w:type="dxa"/>
            <w:tcBorders>
              <w:top w:val="nil"/>
              <w:left w:val="nil"/>
              <w:bottom w:val="single" w:sz="4" w:space="0" w:color="auto"/>
              <w:right w:val="single" w:sz="4" w:space="0" w:color="auto"/>
            </w:tcBorders>
            <w:shd w:val="clear" w:color="auto" w:fill="auto"/>
            <w:noWrap/>
            <w:vAlign w:val="bottom"/>
            <w:hideMark/>
          </w:tcPr>
          <w:p w:rsidR="00E2528D" w:rsidRPr="00E2528D" w:rsidRDefault="00E2528D" w:rsidP="00E2528D">
            <w:pPr>
              <w:spacing w:after="0" w:line="240" w:lineRule="auto"/>
              <w:rPr>
                <w:rFonts w:ascii="Calibri" w:eastAsia="Times New Roman" w:hAnsi="Calibri" w:cs="Calibri"/>
                <w:color w:val="000000"/>
                <w:sz w:val="24"/>
                <w:szCs w:val="24"/>
                <w:lang w:eastAsia="cs-CZ"/>
              </w:rPr>
            </w:pPr>
            <w:r w:rsidRPr="00E2528D">
              <w:rPr>
                <w:rFonts w:ascii="Calibri" w:eastAsia="Times New Roman" w:hAnsi="Calibri" w:cs="Calibri"/>
                <w:color w:val="000000"/>
                <w:sz w:val="24"/>
                <w:szCs w:val="24"/>
                <w:lang w:eastAsia="cs-CZ"/>
              </w:rPr>
              <w:t xml:space="preserve">Místní </w:t>
            </w:r>
            <w:proofErr w:type="gramStart"/>
            <w:r w:rsidRPr="00E2528D">
              <w:rPr>
                <w:rFonts w:ascii="Calibri" w:eastAsia="Times New Roman" w:hAnsi="Calibri" w:cs="Calibri"/>
                <w:color w:val="000000"/>
                <w:sz w:val="24"/>
                <w:szCs w:val="24"/>
                <w:lang w:eastAsia="cs-CZ"/>
              </w:rPr>
              <w:t>poplatky       (Pol</w:t>
            </w:r>
            <w:proofErr w:type="gramEnd"/>
            <w:r w:rsidRPr="00E2528D">
              <w:rPr>
                <w:rFonts w:ascii="Calibri" w:eastAsia="Times New Roman" w:hAnsi="Calibri" w:cs="Calibri"/>
                <w:color w:val="000000"/>
                <w:sz w:val="24"/>
                <w:szCs w:val="24"/>
                <w:lang w:eastAsia="cs-CZ"/>
              </w:rPr>
              <w:t>:133x-134x)</w:t>
            </w:r>
          </w:p>
        </w:tc>
        <w:tc>
          <w:tcPr>
            <w:tcW w:w="1420" w:type="dxa"/>
            <w:tcBorders>
              <w:top w:val="nil"/>
              <w:left w:val="nil"/>
              <w:bottom w:val="single" w:sz="4" w:space="0" w:color="auto"/>
              <w:right w:val="single" w:sz="4" w:space="0" w:color="auto"/>
            </w:tcBorders>
            <w:shd w:val="clear" w:color="auto" w:fill="auto"/>
            <w:noWrap/>
            <w:vAlign w:val="bottom"/>
            <w:hideMark/>
          </w:tcPr>
          <w:p w:rsidR="00E2528D" w:rsidRPr="00E2528D" w:rsidRDefault="00E2528D" w:rsidP="00E2528D">
            <w:pPr>
              <w:spacing w:after="0" w:line="240" w:lineRule="auto"/>
              <w:jc w:val="right"/>
              <w:rPr>
                <w:rFonts w:ascii="Calibri" w:eastAsia="Times New Roman" w:hAnsi="Calibri" w:cs="Calibri"/>
                <w:color w:val="000000"/>
                <w:sz w:val="24"/>
                <w:szCs w:val="24"/>
                <w:lang w:eastAsia="cs-CZ"/>
              </w:rPr>
            </w:pPr>
            <w:r w:rsidRPr="00E2528D">
              <w:rPr>
                <w:rFonts w:ascii="Calibri" w:eastAsia="Times New Roman" w:hAnsi="Calibri" w:cs="Calibri"/>
                <w:color w:val="000000"/>
                <w:sz w:val="24"/>
                <w:szCs w:val="24"/>
                <w:lang w:eastAsia="cs-CZ"/>
              </w:rPr>
              <w:t>1600</w:t>
            </w:r>
          </w:p>
        </w:tc>
        <w:tc>
          <w:tcPr>
            <w:tcW w:w="1320" w:type="dxa"/>
            <w:tcBorders>
              <w:top w:val="nil"/>
              <w:left w:val="nil"/>
              <w:bottom w:val="single" w:sz="4" w:space="0" w:color="auto"/>
              <w:right w:val="single" w:sz="4" w:space="0" w:color="auto"/>
            </w:tcBorders>
            <w:shd w:val="clear" w:color="auto" w:fill="auto"/>
            <w:noWrap/>
            <w:vAlign w:val="bottom"/>
            <w:hideMark/>
          </w:tcPr>
          <w:p w:rsidR="00E2528D" w:rsidRPr="00E2528D" w:rsidRDefault="00E2528D" w:rsidP="00E2528D">
            <w:pPr>
              <w:spacing w:after="0" w:line="240" w:lineRule="auto"/>
              <w:jc w:val="right"/>
              <w:rPr>
                <w:rFonts w:ascii="Calibri" w:eastAsia="Times New Roman" w:hAnsi="Calibri" w:cs="Calibri"/>
                <w:color w:val="000000"/>
                <w:sz w:val="24"/>
                <w:szCs w:val="24"/>
                <w:lang w:eastAsia="cs-CZ"/>
              </w:rPr>
            </w:pPr>
            <w:r w:rsidRPr="00E2528D">
              <w:rPr>
                <w:rFonts w:ascii="Calibri" w:eastAsia="Times New Roman" w:hAnsi="Calibri" w:cs="Calibri"/>
                <w:color w:val="000000"/>
                <w:sz w:val="24"/>
                <w:szCs w:val="24"/>
                <w:lang w:eastAsia="cs-CZ"/>
              </w:rPr>
              <w:t>1600</w:t>
            </w:r>
          </w:p>
        </w:tc>
      </w:tr>
      <w:tr w:rsidR="00E2528D" w:rsidRPr="00E2528D" w:rsidTr="00E2528D">
        <w:trPr>
          <w:trHeight w:val="315"/>
        </w:trPr>
        <w:tc>
          <w:tcPr>
            <w:tcW w:w="2440" w:type="dxa"/>
            <w:tcBorders>
              <w:top w:val="nil"/>
              <w:left w:val="single" w:sz="4" w:space="0" w:color="auto"/>
              <w:bottom w:val="nil"/>
              <w:right w:val="single" w:sz="4" w:space="0" w:color="auto"/>
            </w:tcBorders>
            <w:shd w:val="clear" w:color="auto" w:fill="auto"/>
            <w:noWrap/>
            <w:vAlign w:val="bottom"/>
            <w:hideMark/>
          </w:tcPr>
          <w:p w:rsidR="00E2528D" w:rsidRPr="00E2528D" w:rsidRDefault="00E2528D" w:rsidP="00E2528D">
            <w:pPr>
              <w:spacing w:after="0" w:line="240" w:lineRule="auto"/>
              <w:rPr>
                <w:rFonts w:ascii="Calibri" w:eastAsia="Times New Roman" w:hAnsi="Calibri" w:cs="Calibri"/>
                <w:color w:val="000000"/>
                <w:sz w:val="24"/>
                <w:szCs w:val="24"/>
                <w:lang w:eastAsia="cs-CZ"/>
              </w:rPr>
            </w:pPr>
            <w:r w:rsidRPr="00E2528D">
              <w:rPr>
                <w:rFonts w:ascii="Calibri" w:eastAsia="Times New Roman" w:hAnsi="Calibri" w:cs="Calibri"/>
                <w:color w:val="000000"/>
                <w:sz w:val="24"/>
                <w:szCs w:val="24"/>
                <w:lang w:eastAsia="cs-CZ"/>
              </w:rPr>
              <w:t> </w:t>
            </w:r>
          </w:p>
        </w:tc>
        <w:tc>
          <w:tcPr>
            <w:tcW w:w="4120" w:type="dxa"/>
            <w:tcBorders>
              <w:top w:val="nil"/>
              <w:left w:val="nil"/>
              <w:bottom w:val="single" w:sz="4" w:space="0" w:color="auto"/>
              <w:right w:val="single" w:sz="4" w:space="0" w:color="auto"/>
            </w:tcBorders>
            <w:shd w:val="clear" w:color="auto" w:fill="auto"/>
            <w:noWrap/>
            <w:vAlign w:val="bottom"/>
            <w:hideMark/>
          </w:tcPr>
          <w:p w:rsidR="00E2528D" w:rsidRPr="00E2528D" w:rsidRDefault="00E2528D" w:rsidP="00E2528D">
            <w:pPr>
              <w:spacing w:after="0" w:line="240" w:lineRule="auto"/>
              <w:rPr>
                <w:rFonts w:ascii="Calibri" w:eastAsia="Times New Roman" w:hAnsi="Calibri" w:cs="Calibri"/>
                <w:color w:val="000000"/>
                <w:sz w:val="24"/>
                <w:szCs w:val="24"/>
                <w:lang w:eastAsia="cs-CZ"/>
              </w:rPr>
            </w:pPr>
            <w:r w:rsidRPr="00E2528D">
              <w:rPr>
                <w:rFonts w:ascii="Calibri" w:eastAsia="Times New Roman" w:hAnsi="Calibri" w:cs="Calibri"/>
                <w:color w:val="000000"/>
                <w:sz w:val="24"/>
                <w:szCs w:val="24"/>
                <w:lang w:eastAsia="cs-CZ"/>
              </w:rPr>
              <w:t xml:space="preserve">Správní </w:t>
            </w:r>
            <w:proofErr w:type="gramStart"/>
            <w:r w:rsidRPr="00E2528D">
              <w:rPr>
                <w:rFonts w:ascii="Calibri" w:eastAsia="Times New Roman" w:hAnsi="Calibri" w:cs="Calibri"/>
                <w:color w:val="000000"/>
                <w:sz w:val="24"/>
                <w:szCs w:val="24"/>
                <w:lang w:eastAsia="cs-CZ"/>
              </w:rPr>
              <w:t>poplatky             (</w:t>
            </w:r>
            <w:proofErr w:type="spellStart"/>
            <w:r w:rsidRPr="00E2528D">
              <w:rPr>
                <w:rFonts w:ascii="Calibri" w:eastAsia="Times New Roman" w:hAnsi="Calibri" w:cs="Calibri"/>
                <w:color w:val="000000"/>
                <w:sz w:val="24"/>
                <w:szCs w:val="24"/>
                <w:lang w:eastAsia="cs-CZ"/>
              </w:rPr>
              <w:t>Pol</w:t>
            </w:r>
            <w:proofErr w:type="spellEnd"/>
            <w:proofErr w:type="gramEnd"/>
            <w:r w:rsidRPr="00E2528D">
              <w:rPr>
                <w:rFonts w:ascii="Calibri" w:eastAsia="Times New Roman" w:hAnsi="Calibri" w:cs="Calibri"/>
                <w:color w:val="000000"/>
                <w:sz w:val="24"/>
                <w:szCs w:val="24"/>
                <w:lang w:eastAsia="cs-CZ"/>
              </w:rPr>
              <w:t>: 136x)</w:t>
            </w:r>
          </w:p>
        </w:tc>
        <w:tc>
          <w:tcPr>
            <w:tcW w:w="1420" w:type="dxa"/>
            <w:tcBorders>
              <w:top w:val="nil"/>
              <w:left w:val="nil"/>
              <w:bottom w:val="single" w:sz="4" w:space="0" w:color="auto"/>
              <w:right w:val="single" w:sz="4" w:space="0" w:color="auto"/>
            </w:tcBorders>
            <w:shd w:val="clear" w:color="auto" w:fill="auto"/>
            <w:noWrap/>
            <w:vAlign w:val="bottom"/>
            <w:hideMark/>
          </w:tcPr>
          <w:p w:rsidR="00E2528D" w:rsidRPr="00E2528D" w:rsidRDefault="00E2528D" w:rsidP="00E2528D">
            <w:pPr>
              <w:spacing w:after="0" w:line="240" w:lineRule="auto"/>
              <w:jc w:val="right"/>
              <w:rPr>
                <w:rFonts w:ascii="Calibri" w:eastAsia="Times New Roman" w:hAnsi="Calibri" w:cs="Calibri"/>
                <w:color w:val="000000"/>
                <w:sz w:val="24"/>
                <w:szCs w:val="24"/>
                <w:lang w:eastAsia="cs-CZ"/>
              </w:rPr>
            </w:pPr>
            <w:r w:rsidRPr="00E2528D">
              <w:rPr>
                <w:rFonts w:ascii="Calibri" w:eastAsia="Times New Roman" w:hAnsi="Calibri" w:cs="Calibri"/>
                <w:color w:val="000000"/>
                <w:sz w:val="24"/>
                <w:szCs w:val="24"/>
                <w:lang w:eastAsia="cs-CZ"/>
              </w:rPr>
              <w:t>400</w:t>
            </w:r>
          </w:p>
        </w:tc>
        <w:tc>
          <w:tcPr>
            <w:tcW w:w="1320" w:type="dxa"/>
            <w:tcBorders>
              <w:top w:val="nil"/>
              <w:left w:val="nil"/>
              <w:bottom w:val="single" w:sz="4" w:space="0" w:color="auto"/>
              <w:right w:val="single" w:sz="4" w:space="0" w:color="auto"/>
            </w:tcBorders>
            <w:shd w:val="clear" w:color="auto" w:fill="auto"/>
            <w:noWrap/>
            <w:vAlign w:val="bottom"/>
            <w:hideMark/>
          </w:tcPr>
          <w:p w:rsidR="00E2528D" w:rsidRPr="00E2528D" w:rsidRDefault="00E2528D" w:rsidP="00E2528D">
            <w:pPr>
              <w:spacing w:after="0" w:line="240" w:lineRule="auto"/>
              <w:jc w:val="right"/>
              <w:rPr>
                <w:rFonts w:ascii="Calibri" w:eastAsia="Times New Roman" w:hAnsi="Calibri" w:cs="Calibri"/>
                <w:color w:val="000000"/>
                <w:sz w:val="24"/>
                <w:szCs w:val="24"/>
                <w:lang w:eastAsia="cs-CZ"/>
              </w:rPr>
            </w:pPr>
            <w:r w:rsidRPr="00E2528D">
              <w:rPr>
                <w:rFonts w:ascii="Calibri" w:eastAsia="Times New Roman" w:hAnsi="Calibri" w:cs="Calibri"/>
                <w:color w:val="000000"/>
                <w:sz w:val="24"/>
                <w:szCs w:val="24"/>
                <w:lang w:eastAsia="cs-CZ"/>
              </w:rPr>
              <w:t>400</w:t>
            </w:r>
          </w:p>
        </w:tc>
      </w:tr>
      <w:tr w:rsidR="00E2528D" w:rsidRPr="00E2528D" w:rsidTr="00E2528D">
        <w:trPr>
          <w:trHeight w:val="315"/>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E2528D" w:rsidRPr="00E2528D" w:rsidRDefault="00E2528D" w:rsidP="00E2528D">
            <w:pPr>
              <w:spacing w:after="0" w:line="240" w:lineRule="auto"/>
              <w:rPr>
                <w:rFonts w:ascii="Calibri" w:eastAsia="Times New Roman" w:hAnsi="Calibri" w:cs="Calibri"/>
                <w:color w:val="000000"/>
                <w:sz w:val="24"/>
                <w:szCs w:val="24"/>
                <w:lang w:eastAsia="cs-CZ"/>
              </w:rPr>
            </w:pPr>
            <w:r w:rsidRPr="00E2528D">
              <w:rPr>
                <w:rFonts w:ascii="Calibri" w:eastAsia="Times New Roman" w:hAnsi="Calibri" w:cs="Calibri"/>
                <w:color w:val="000000"/>
                <w:sz w:val="24"/>
                <w:szCs w:val="24"/>
                <w:lang w:eastAsia="cs-CZ"/>
              </w:rPr>
              <w:t> </w:t>
            </w:r>
          </w:p>
        </w:tc>
        <w:tc>
          <w:tcPr>
            <w:tcW w:w="4120" w:type="dxa"/>
            <w:tcBorders>
              <w:top w:val="nil"/>
              <w:left w:val="nil"/>
              <w:bottom w:val="single" w:sz="4" w:space="0" w:color="auto"/>
              <w:right w:val="single" w:sz="4" w:space="0" w:color="auto"/>
            </w:tcBorders>
            <w:shd w:val="clear" w:color="auto" w:fill="auto"/>
            <w:noWrap/>
            <w:vAlign w:val="bottom"/>
            <w:hideMark/>
          </w:tcPr>
          <w:p w:rsidR="00E2528D" w:rsidRPr="00E2528D" w:rsidRDefault="00E2528D" w:rsidP="00E2528D">
            <w:pPr>
              <w:spacing w:after="0" w:line="240" w:lineRule="auto"/>
              <w:rPr>
                <w:rFonts w:ascii="Calibri" w:eastAsia="Times New Roman" w:hAnsi="Calibri" w:cs="Calibri"/>
                <w:color w:val="000000"/>
                <w:sz w:val="24"/>
                <w:szCs w:val="24"/>
                <w:lang w:eastAsia="cs-CZ"/>
              </w:rPr>
            </w:pPr>
            <w:r w:rsidRPr="00E2528D">
              <w:rPr>
                <w:rFonts w:ascii="Calibri" w:eastAsia="Times New Roman" w:hAnsi="Calibri" w:cs="Calibri"/>
                <w:color w:val="000000"/>
                <w:sz w:val="24"/>
                <w:szCs w:val="24"/>
                <w:lang w:eastAsia="cs-CZ"/>
              </w:rPr>
              <w:t xml:space="preserve">Daň z </w:t>
            </w:r>
            <w:proofErr w:type="gramStart"/>
            <w:r w:rsidRPr="00E2528D">
              <w:rPr>
                <w:rFonts w:ascii="Calibri" w:eastAsia="Times New Roman" w:hAnsi="Calibri" w:cs="Calibri"/>
                <w:color w:val="000000"/>
                <w:sz w:val="24"/>
                <w:szCs w:val="24"/>
                <w:lang w:eastAsia="cs-CZ"/>
              </w:rPr>
              <w:t>nemovitosti          (</w:t>
            </w:r>
            <w:proofErr w:type="spellStart"/>
            <w:r w:rsidRPr="00E2528D">
              <w:rPr>
                <w:rFonts w:ascii="Calibri" w:eastAsia="Times New Roman" w:hAnsi="Calibri" w:cs="Calibri"/>
                <w:color w:val="000000"/>
                <w:sz w:val="24"/>
                <w:szCs w:val="24"/>
                <w:lang w:eastAsia="cs-CZ"/>
              </w:rPr>
              <w:t>Pol</w:t>
            </w:r>
            <w:proofErr w:type="spellEnd"/>
            <w:proofErr w:type="gramEnd"/>
            <w:r w:rsidRPr="00E2528D">
              <w:rPr>
                <w:rFonts w:ascii="Calibri" w:eastAsia="Times New Roman" w:hAnsi="Calibri" w:cs="Calibri"/>
                <w:color w:val="000000"/>
                <w:sz w:val="24"/>
                <w:szCs w:val="24"/>
                <w:lang w:eastAsia="cs-CZ"/>
              </w:rPr>
              <w:t>: 1511)</w:t>
            </w:r>
          </w:p>
        </w:tc>
        <w:tc>
          <w:tcPr>
            <w:tcW w:w="1420" w:type="dxa"/>
            <w:tcBorders>
              <w:top w:val="nil"/>
              <w:left w:val="nil"/>
              <w:bottom w:val="single" w:sz="4" w:space="0" w:color="auto"/>
              <w:right w:val="single" w:sz="4" w:space="0" w:color="auto"/>
            </w:tcBorders>
            <w:shd w:val="clear" w:color="auto" w:fill="auto"/>
            <w:noWrap/>
            <w:vAlign w:val="bottom"/>
            <w:hideMark/>
          </w:tcPr>
          <w:p w:rsidR="00E2528D" w:rsidRPr="00E2528D" w:rsidRDefault="00E2528D" w:rsidP="00E2528D">
            <w:pPr>
              <w:spacing w:after="0" w:line="240" w:lineRule="auto"/>
              <w:jc w:val="right"/>
              <w:rPr>
                <w:rFonts w:ascii="Calibri" w:eastAsia="Times New Roman" w:hAnsi="Calibri" w:cs="Calibri"/>
                <w:color w:val="000000"/>
                <w:sz w:val="24"/>
                <w:szCs w:val="24"/>
                <w:lang w:eastAsia="cs-CZ"/>
              </w:rPr>
            </w:pPr>
            <w:r w:rsidRPr="00E2528D">
              <w:rPr>
                <w:rFonts w:ascii="Calibri" w:eastAsia="Times New Roman" w:hAnsi="Calibri" w:cs="Calibri"/>
                <w:color w:val="000000"/>
                <w:sz w:val="24"/>
                <w:szCs w:val="24"/>
                <w:lang w:eastAsia="cs-CZ"/>
              </w:rPr>
              <w:t>1200</w:t>
            </w:r>
          </w:p>
        </w:tc>
        <w:tc>
          <w:tcPr>
            <w:tcW w:w="1320" w:type="dxa"/>
            <w:tcBorders>
              <w:top w:val="nil"/>
              <w:left w:val="nil"/>
              <w:bottom w:val="single" w:sz="4" w:space="0" w:color="auto"/>
              <w:right w:val="single" w:sz="4" w:space="0" w:color="auto"/>
            </w:tcBorders>
            <w:shd w:val="clear" w:color="auto" w:fill="auto"/>
            <w:noWrap/>
            <w:vAlign w:val="bottom"/>
            <w:hideMark/>
          </w:tcPr>
          <w:p w:rsidR="00E2528D" w:rsidRPr="00E2528D" w:rsidRDefault="00E2528D" w:rsidP="00E2528D">
            <w:pPr>
              <w:spacing w:after="0" w:line="240" w:lineRule="auto"/>
              <w:jc w:val="right"/>
              <w:rPr>
                <w:rFonts w:ascii="Calibri" w:eastAsia="Times New Roman" w:hAnsi="Calibri" w:cs="Calibri"/>
                <w:color w:val="000000"/>
                <w:sz w:val="24"/>
                <w:szCs w:val="24"/>
                <w:lang w:eastAsia="cs-CZ"/>
              </w:rPr>
            </w:pPr>
            <w:r w:rsidRPr="00E2528D">
              <w:rPr>
                <w:rFonts w:ascii="Calibri" w:eastAsia="Times New Roman" w:hAnsi="Calibri" w:cs="Calibri"/>
                <w:color w:val="000000"/>
                <w:sz w:val="24"/>
                <w:szCs w:val="24"/>
                <w:lang w:eastAsia="cs-CZ"/>
              </w:rPr>
              <w:t>1200</w:t>
            </w:r>
          </w:p>
        </w:tc>
      </w:tr>
      <w:tr w:rsidR="00E2528D" w:rsidRPr="00E2528D" w:rsidTr="00E2528D">
        <w:trPr>
          <w:trHeight w:val="315"/>
        </w:trPr>
        <w:tc>
          <w:tcPr>
            <w:tcW w:w="2440" w:type="dxa"/>
            <w:tcBorders>
              <w:top w:val="nil"/>
              <w:left w:val="single" w:sz="4" w:space="0" w:color="auto"/>
              <w:bottom w:val="nil"/>
              <w:right w:val="single" w:sz="4" w:space="0" w:color="auto"/>
            </w:tcBorders>
            <w:shd w:val="clear" w:color="000000" w:fill="FFFF00"/>
            <w:noWrap/>
            <w:vAlign w:val="bottom"/>
            <w:hideMark/>
          </w:tcPr>
          <w:p w:rsidR="00E2528D" w:rsidRPr="00E2528D" w:rsidRDefault="00E2528D" w:rsidP="00E2528D">
            <w:pPr>
              <w:spacing w:after="0" w:line="240" w:lineRule="auto"/>
              <w:rPr>
                <w:rFonts w:ascii="Calibri" w:eastAsia="Times New Roman" w:hAnsi="Calibri" w:cs="Calibri"/>
                <w:color w:val="000000"/>
                <w:sz w:val="24"/>
                <w:szCs w:val="24"/>
                <w:lang w:eastAsia="cs-CZ"/>
              </w:rPr>
            </w:pPr>
            <w:r w:rsidRPr="00E2528D">
              <w:rPr>
                <w:rFonts w:ascii="Calibri" w:eastAsia="Times New Roman" w:hAnsi="Calibri" w:cs="Calibri"/>
                <w:color w:val="000000"/>
                <w:sz w:val="24"/>
                <w:szCs w:val="24"/>
                <w:lang w:eastAsia="cs-CZ"/>
              </w:rPr>
              <w:t> </w:t>
            </w:r>
          </w:p>
        </w:tc>
        <w:tc>
          <w:tcPr>
            <w:tcW w:w="4120" w:type="dxa"/>
            <w:tcBorders>
              <w:top w:val="nil"/>
              <w:left w:val="nil"/>
              <w:bottom w:val="single" w:sz="4" w:space="0" w:color="auto"/>
              <w:right w:val="single" w:sz="4" w:space="0" w:color="auto"/>
            </w:tcBorders>
            <w:shd w:val="clear" w:color="000000" w:fill="FFFF00"/>
            <w:noWrap/>
            <w:vAlign w:val="bottom"/>
            <w:hideMark/>
          </w:tcPr>
          <w:p w:rsidR="00E2528D" w:rsidRPr="00E2528D" w:rsidRDefault="00E2528D" w:rsidP="00E2528D">
            <w:pPr>
              <w:spacing w:after="0" w:line="240" w:lineRule="auto"/>
              <w:rPr>
                <w:rFonts w:ascii="Calibri" w:eastAsia="Times New Roman" w:hAnsi="Calibri" w:cs="Calibri"/>
                <w:color w:val="000000"/>
                <w:sz w:val="24"/>
                <w:szCs w:val="24"/>
                <w:lang w:eastAsia="cs-CZ"/>
              </w:rPr>
            </w:pPr>
            <w:r w:rsidRPr="00E2528D">
              <w:rPr>
                <w:rFonts w:ascii="Calibri" w:eastAsia="Times New Roman" w:hAnsi="Calibri" w:cs="Calibri"/>
                <w:color w:val="000000"/>
                <w:sz w:val="24"/>
                <w:szCs w:val="24"/>
                <w:lang w:eastAsia="cs-CZ"/>
              </w:rPr>
              <w:t> </w:t>
            </w:r>
          </w:p>
        </w:tc>
        <w:tc>
          <w:tcPr>
            <w:tcW w:w="1420" w:type="dxa"/>
            <w:tcBorders>
              <w:top w:val="nil"/>
              <w:left w:val="nil"/>
              <w:bottom w:val="single" w:sz="4" w:space="0" w:color="auto"/>
              <w:right w:val="single" w:sz="4" w:space="0" w:color="auto"/>
            </w:tcBorders>
            <w:shd w:val="clear" w:color="000000" w:fill="FFFF00"/>
            <w:noWrap/>
            <w:vAlign w:val="bottom"/>
            <w:hideMark/>
          </w:tcPr>
          <w:p w:rsidR="00E2528D" w:rsidRPr="00E2528D" w:rsidRDefault="00E2528D" w:rsidP="00E2528D">
            <w:pPr>
              <w:spacing w:after="0" w:line="240" w:lineRule="auto"/>
              <w:rPr>
                <w:rFonts w:ascii="Calibri" w:eastAsia="Times New Roman" w:hAnsi="Calibri" w:cs="Calibri"/>
                <w:color w:val="000000"/>
                <w:sz w:val="24"/>
                <w:szCs w:val="24"/>
                <w:lang w:eastAsia="cs-CZ"/>
              </w:rPr>
            </w:pPr>
            <w:r w:rsidRPr="00E2528D">
              <w:rPr>
                <w:rFonts w:ascii="Calibri" w:eastAsia="Times New Roman" w:hAnsi="Calibri" w:cs="Calibri"/>
                <w:color w:val="000000"/>
                <w:sz w:val="24"/>
                <w:szCs w:val="24"/>
                <w:lang w:eastAsia="cs-CZ"/>
              </w:rPr>
              <w:t> </w:t>
            </w:r>
          </w:p>
        </w:tc>
        <w:tc>
          <w:tcPr>
            <w:tcW w:w="1320" w:type="dxa"/>
            <w:tcBorders>
              <w:top w:val="nil"/>
              <w:left w:val="nil"/>
              <w:bottom w:val="single" w:sz="4" w:space="0" w:color="auto"/>
              <w:right w:val="single" w:sz="4" w:space="0" w:color="auto"/>
            </w:tcBorders>
            <w:shd w:val="clear" w:color="000000" w:fill="FFFF00"/>
            <w:noWrap/>
            <w:vAlign w:val="bottom"/>
            <w:hideMark/>
          </w:tcPr>
          <w:p w:rsidR="00E2528D" w:rsidRPr="00E2528D" w:rsidRDefault="00E2528D" w:rsidP="00E2528D">
            <w:pPr>
              <w:spacing w:after="0" w:line="240" w:lineRule="auto"/>
              <w:rPr>
                <w:rFonts w:ascii="Calibri" w:eastAsia="Times New Roman" w:hAnsi="Calibri" w:cs="Calibri"/>
                <w:color w:val="000000"/>
                <w:sz w:val="24"/>
                <w:szCs w:val="24"/>
                <w:lang w:eastAsia="cs-CZ"/>
              </w:rPr>
            </w:pPr>
            <w:r w:rsidRPr="00E2528D">
              <w:rPr>
                <w:rFonts w:ascii="Calibri" w:eastAsia="Times New Roman" w:hAnsi="Calibri" w:cs="Calibri"/>
                <w:color w:val="000000"/>
                <w:sz w:val="24"/>
                <w:szCs w:val="24"/>
                <w:lang w:eastAsia="cs-CZ"/>
              </w:rPr>
              <w:t> </w:t>
            </w:r>
          </w:p>
        </w:tc>
      </w:tr>
      <w:tr w:rsidR="00E2528D" w:rsidRPr="00E2528D" w:rsidTr="00E2528D">
        <w:trPr>
          <w:trHeight w:val="315"/>
        </w:trPr>
        <w:tc>
          <w:tcPr>
            <w:tcW w:w="2440" w:type="dxa"/>
            <w:tcBorders>
              <w:top w:val="single" w:sz="4" w:space="0" w:color="auto"/>
              <w:left w:val="single" w:sz="4" w:space="0" w:color="auto"/>
              <w:bottom w:val="nil"/>
              <w:right w:val="single" w:sz="4" w:space="0" w:color="auto"/>
            </w:tcBorders>
            <w:shd w:val="clear" w:color="auto" w:fill="auto"/>
            <w:noWrap/>
            <w:vAlign w:val="bottom"/>
            <w:hideMark/>
          </w:tcPr>
          <w:p w:rsidR="00E2528D" w:rsidRPr="00E2528D" w:rsidRDefault="00E2528D" w:rsidP="00E2528D">
            <w:pPr>
              <w:spacing w:after="0" w:line="240" w:lineRule="auto"/>
              <w:rPr>
                <w:rFonts w:ascii="Calibri" w:eastAsia="Times New Roman" w:hAnsi="Calibri" w:cs="Calibri"/>
                <w:color w:val="000000"/>
                <w:sz w:val="24"/>
                <w:szCs w:val="24"/>
                <w:lang w:eastAsia="cs-CZ"/>
              </w:rPr>
            </w:pPr>
            <w:r w:rsidRPr="00E2528D">
              <w:rPr>
                <w:rFonts w:ascii="Calibri" w:eastAsia="Times New Roman" w:hAnsi="Calibri" w:cs="Calibri"/>
                <w:color w:val="000000"/>
                <w:sz w:val="24"/>
                <w:szCs w:val="24"/>
                <w:lang w:eastAsia="cs-CZ"/>
              </w:rPr>
              <w:t>Třída 2</w:t>
            </w:r>
          </w:p>
        </w:tc>
        <w:tc>
          <w:tcPr>
            <w:tcW w:w="4120" w:type="dxa"/>
            <w:tcBorders>
              <w:top w:val="nil"/>
              <w:left w:val="nil"/>
              <w:bottom w:val="single" w:sz="4" w:space="0" w:color="auto"/>
              <w:right w:val="single" w:sz="4" w:space="0" w:color="auto"/>
            </w:tcBorders>
            <w:shd w:val="clear" w:color="auto" w:fill="auto"/>
            <w:noWrap/>
            <w:vAlign w:val="bottom"/>
            <w:hideMark/>
          </w:tcPr>
          <w:p w:rsidR="00E2528D" w:rsidRPr="00E2528D" w:rsidRDefault="00E2528D" w:rsidP="00E2528D">
            <w:pPr>
              <w:spacing w:after="0" w:line="240" w:lineRule="auto"/>
              <w:rPr>
                <w:rFonts w:ascii="Calibri" w:eastAsia="Times New Roman" w:hAnsi="Calibri" w:cs="Calibri"/>
                <w:color w:val="000000"/>
                <w:sz w:val="24"/>
                <w:szCs w:val="24"/>
                <w:lang w:eastAsia="cs-CZ"/>
              </w:rPr>
            </w:pPr>
            <w:r w:rsidRPr="00E2528D">
              <w:rPr>
                <w:rFonts w:ascii="Calibri" w:eastAsia="Times New Roman" w:hAnsi="Calibri" w:cs="Calibri"/>
                <w:color w:val="000000"/>
                <w:sz w:val="24"/>
                <w:szCs w:val="24"/>
                <w:lang w:eastAsia="cs-CZ"/>
              </w:rPr>
              <w:t> </w:t>
            </w:r>
          </w:p>
        </w:tc>
        <w:tc>
          <w:tcPr>
            <w:tcW w:w="1420" w:type="dxa"/>
            <w:tcBorders>
              <w:top w:val="nil"/>
              <w:left w:val="nil"/>
              <w:bottom w:val="single" w:sz="4" w:space="0" w:color="auto"/>
              <w:right w:val="single" w:sz="4" w:space="0" w:color="auto"/>
            </w:tcBorders>
            <w:shd w:val="clear" w:color="auto" w:fill="auto"/>
            <w:noWrap/>
            <w:vAlign w:val="bottom"/>
            <w:hideMark/>
          </w:tcPr>
          <w:p w:rsidR="00E2528D" w:rsidRPr="00E2528D" w:rsidRDefault="00E2528D" w:rsidP="00E2528D">
            <w:pPr>
              <w:spacing w:after="0" w:line="240" w:lineRule="auto"/>
              <w:rPr>
                <w:rFonts w:ascii="Calibri" w:eastAsia="Times New Roman" w:hAnsi="Calibri" w:cs="Calibri"/>
                <w:color w:val="000000"/>
                <w:sz w:val="24"/>
                <w:szCs w:val="24"/>
                <w:lang w:eastAsia="cs-CZ"/>
              </w:rPr>
            </w:pPr>
            <w:r w:rsidRPr="00E2528D">
              <w:rPr>
                <w:rFonts w:ascii="Calibri" w:eastAsia="Times New Roman" w:hAnsi="Calibri" w:cs="Calibri"/>
                <w:color w:val="000000"/>
                <w:sz w:val="24"/>
                <w:szCs w:val="24"/>
                <w:lang w:eastAsia="cs-CZ"/>
              </w:rPr>
              <w:t> </w:t>
            </w:r>
          </w:p>
        </w:tc>
        <w:tc>
          <w:tcPr>
            <w:tcW w:w="1320" w:type="dxa"/>
            <w:tcBorders>
              <w:top w:val="nil"/>
              <w:left w:val="nil"/>
              <w:bottom w:val="single" w:sz="4" w:space="0" w:color="auto"/>
              <w:right w:val="single" w:sz="4" w:space="0" w:color="auto"/>
            </w:tcBorders>
            <w:shd w:val="clear" w:color="auto" w:fill="auto"/>
            <w:noWrap/>
            <w:vAlign w:val="bottom"/>
            <w:hideMark/>
          </w:tcPr>
          <w:p w:rsidR="00E2528D" w:rsidRPr="00E2528D" w:rsidRDefault="00E2528D" w:rsidP="00E2528D">
            <w:pPr>
              <w:spacing w:after="0" w:line="240" w:lineRule="auto"/>
              <w:rPr>
                <w:rFonts w:ascii="Calibri" w:eastAsia="Times New Roman" w:hAnsi="Calibri" w:cs="Calibri"/>
                <w:color w:val="000000"/>
                <w:sz w:val="24"/>
                <w:szCs w:val="24"/>
                <w:lang w:eastAsia="cs-CZ"/>
              </w:rPr>
            </w:pPr>
            <w:r w:rsidRPr="00E2528D">
              <w:rPr>
                <w:rFonts w:ascii="Calibri" w:eastAsia="Times New Roman" w:hAnsi="Calibri" w:cs="Calibri"/>
                <w:color w:val="000000"/>
                <w:sz w:val="24"/>
                <w:szCs w:val="24"/>
                <w:lang w:eastAsia="cs-CZ"/>
              </w:rPr>
              <w:t> </w:t>
            </w:r>
          </w:p>
        </w:tc>
      </w:tr>
      <w:tr w:rsidR="00E2528D" w:rsidRPr="00E2528D" w:rsidTr="00E2528D">
        <w:trPr>
          <w:trHeight w:val="315"/>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E2528D" w:rsidRPr="00E2528D" w:rsidRDefault="00E2528D" w:rsidP="00E2528D">
            <w:pPr>
              <w:spacing w:after="0" w:line="240" w:lineRule="auto"/>
              <w:rPr>
                <w:rFonts w:ascii="Calibri" w:eastAsia="Times New Roman" w:hAnsi="Calibri" w:cs="Calibri"/>
                <w:color w:val="000000"/>
                <w:sz w:val="24"/>
                <w:szCs w:val="24"/>
                <w:lang w:eastAsia="cs-CZ"/>
              </w:rPr>
            </w:pPr>
            <w:r w:rsidRPr="00E2528D">
              <w:rPr>
                <w:rFonts w:ascii="Calibri" w:eastAsia="Times New Roman" w:hAnsi="Calibri" w:cs="Calibri"/>
                <w:color w:val="000000"/>
                <w:sz w:val="24"/>
                <w:szCs w:val="24"/>
                <w:lang w:eastAsia="cs-CZ"/>
              </w:rPr>
              <w:t>Nedaňové příjmy</w:t>
            </w:r>
          </w:p>
        </w:tc>
        <w:tc>
          <w:tcPr>
            <w:tcW w:w="4120" w:type="dxa"/>
            <w:tcBorders>
              <w:top w:val="nil"/>
              <w:left w:val="nil"/>
              <w:bottom w:val="single" w:sz="4" w:space="0" w:color="auto"/>
              <w:right w:val="single" w:sz="4" w:space="0" w:color="auto"/>
            </w:tcBorders>
            <w:shd w:val="clear" w:color="auto" w:fill="auto"/>
            <w:noWrap/>
            <w:vAlign w:val="bottom"/>
            <w:hideMark/>
          </w:tcPr>
          <w:p w:rsidR="00E2528D" w:rsidRPr="00E2528D" w:rsidRDefault="00E2528D" w:rsidP="00E2528D">
            <w:pPr>
              <w:spacing w:after="0" w:line="240" w:lineRule="auto"/>
              <w:rPr>
                <w:rFonts w:ascii="Calibri" w:eastAsia="Times New Roman" w:hAnsi="Calibri" w:cs="Calibri"/>
                <w:color w:val="000000"/>
                <w:sz w:val="24"/>
                <w:szCs w:val="24"/>
                <w:lang w:eastAsia="cs-CZ"/>
              </w:rPr>
            </w:pPr>
            <w:r w:rsidRPr="00E2528D">
              <w:rPr>
                <w:rFonts w:ascii="Calibri" w:eastAsia="Times New Roman" w:hAnsi="Calibri" w:cs="Calibri"/>
                <w:color w:val="000000"/>
                <w:sz w:val="24"/>
                <w:szCs w:val="24"/>
                <w:lang w:eastAsia="cs-CZ"/>
              </w:rPr>
              <w:t xml:space="preserve">                                      (</w:t>
            </w:r>
            <w:proofErr w:type="spellStart"/>
            <w:r w:rsidRPr="00E2528D">
              <w:rPr>
                <w:rFonts w:ascii="Calibri" w:eastAsia="Times New Roman" w:hAnsi="Calibri" w:cs="Calibri"/>
                <w:color w:val="000000"/>
                <w:sz w:val="24"/>
                <w:szCs w:val="24"/>
                <w:lang w:eastAsia="cs-CZ"/>
              </w:rPr>
              <w:t>Pol</w:t>
            </w:r>
            <w:proofErr w:type="spellEnd"/>
            <w:r w:rsidRPr="00E2528D">
              <w:rPr>
                <w:rFonts w:ascii="Calibri" w:eastAsia="Times New Roman" w:hAnsi="Calibri" w:cs="Calibri"/>
                <w:color w:val="000000"/>
                <w:sz w:val="24"/>
                <w:szCs w:val="24"/>
                <w:lang w:eastAsia="cs-CZ"/>
              </w:rPr>
              <w:t>: 2xxx)</w:t>
            </w:r>
          </w:p>
        </w:tc>
        <w:tc>
          <w:tcPr>
            <w:tcW w:w="1420" w:type="dxa"/>
            <w:tcBorders>
              <w:top w:val="nil"/>
              <w:left w:val="nil"/>
              <w:bottom w:val="single" w:sz="4" w:space="0" w:color="auto"/>
              <w:right w:val="single" w:sz="4" w:space="0" w:color="auto"/>
            </w:tcBorders>
            <w:shd w:val="clear" w:color="auto" w:fill="auto"/>
            <w:noWrap/>
            <w:vAlign w:val="bottom"/>
            <w:hideMark/>
          </w:tcPr>
          <w:p w:rsidR="00E2528D" w:rsidRPr="00E2528D" w:rsidRDefault="00E2528D" w:rsidP="00E2528D">
            <w:pPr>
              <w:spacing w:after="0" w:line="240" w:lineRule="auto"/>
              <w:jc w:val="right"/>
              <w:rPr>
                <w:rFonts w:ascii="Calibri" w:eastAsia="Times New Roman" w:hAnsi="Calibri" w:cs="Calibri"/>
                <w:color w:val="000000"/>
                <w:sz w:val="24"/>
                <w:szCs w:val="24"/>
                <w:lang w:eastAsia="cs-CZ"/>
              </w:rPr>
            </w:pPr>
            <w:r w:rsidRPr="00E2528D">
              <w:rPr>
                <w:rFonts w:ascii="Calibri" w:eastAsia="Times New Roman" w:hAnsi="Calibri" w:cs="Calibri"/>
                <w:color w:val="000000"/>
                <w:sz w:val="24"/>
                <w:szCs w:val="24"/>
                <w:lang w:eastAsia="cs-CZ"/>
              </w:rPr>
              <w:t>7200</w:t>
            </w:r>
          </w:p>
        </w:tc>
        <w:tc>
          <w:tcPr>
            <w:tcW w:w="1320" w:type="dxa"/>
            <w:tcBorders>
              <w:top w:val="nil"/>
              <w:left w:val="nil"/>
              <w:bottom w:val="single" w:sz="4" w:space="0" w:color="auto"/>
              <w:right w:val="single" w:sz="4" w:space="0" w:color="auto"/>
            </w:tcBorders>
            <w:shd w:val="clear" w:color="auto" w:fill="auto"/>
            <w:noWrap/>
            <w:vAlign w:val="bottom"/>
            <w:hideMark/>
          </w:tcPr>
          <w:p w:rsidR="00E2528D" w:rsidRPr="00E2528D" w:rsidRDefault="00E2528D" w:rsidP="00E2528D">
            <w:pPr>
              <w:spacing w:after="0" w:line="240" w:lineRule="auto"/>
              <w:jc w:val="right"/>
              <w:rPr>
                <w:rFonts w:ascii="Calibri" w:eastAsia="Times New Roman" w:hAnsi="Calibri" w:cs="Calibri"/>
                <w:color w:val="000000"/>
                <w:sz w:val="24"/>
                <w:szCs w:val="24"/>
                <w:lang w:eastAsia="cs-CZ"/>
              </w:rPr>
            </w:pPr>
            <w:r w:rsidRPr="00E2528D">
              <w:rPr>
                <w:rFonts w:ascii="Calibri" w:eastAsia="Times New Roman" w:hAnsi="Calibri" w:cs="Calibri"/>
                <w:color w:val="000000"/>
                <w:sz w:val="24"/>
                <w:szCs w:val="24"/>
                <w:lang w:eastAsia="cs-CZ"/>
              </w:rPr>
              <w:t>7400</w:t>
            </w:r>
          </w:p>
        </w:tc>
      </w:tr>
      <w:tr w:rsidR="00E2528D" w:rsidRPr="00E2528D" w:rsidTr="00E2528D">
        <w:trPr>
          <w:trHeight w:val="315"/>
        </w:trPr>
        <w:tc>
          <w:tcPr>
            <w:tcW w:w="2440" w:type="dxa"/>
            <w:tcBorders>
              <w:top w:val="nil"/>
              <w:left w:val="single" w:sz="4" w:space="0" w:color="auto"/>
              <w:bottom w:val="single" w:sz="4" w:space="0" w:color="auto"/>
              <w:right w:val="single" w:sz="4" w:space="0" w:color="auto"/>
            </w:tcBorders>
            <w:shd w:val="clear" w:color="000000" w:fill="FFFF00"/>
            <w:noWrap/>
            <w:vAlign w:val="bottom"/>
            <w:hideMark/>
          </w:tcPr>
          <w:p w:rsidR="00E2528D" w:rsidRPr="00E2528D" w:rsidRDefault="00E2528D" w:rsidP="00E2528D">
            <w:pPr>
              <w:spacing w:after="0" w:line="240" w:lineRule="auto"/>
              <w:rPr>
                <w:rFonts w:ascii="Calibri" w:eastAsia="Times New Roman" w:hAnsi="Calibri" w:cs="Calibri"/>
                <w:color w:val="000000"/>
                <w:sz w:val="24"/>
                <w:szCs w:val="24"/>
                <w:lang w:eastAsia="cs-CZ"/>
              </w:rPr>
            </w:pPr>
            <w:r w:rsidRPr="00E2528D">
              <w:rPr>
                <w:rFonts w:ascii="Calibri" w:eastAsia="Times New Roman" w:hAnsi="Calibri" w:cs="Calibri"/>
                <w:color w:val="000000"/>
                <w:sz w:val="24"/>
                <w:szCs w:val="24"/>
                <w:lang w:eastAsia="cs-CZ"/>
              </w:rPr>
              <w:t> </w:t>
            </w:r>
          </w:p>
        </w:tc>
        <w:tc>
          <w:tcPr>
            <w:tcW w:w="4120" w:type="dxa"/>
            <w:tcBorders>
              <w:top w:val="nil"/>
              <w:left w:val="nil"/>
              <w:bottom w:val="single" w:sz="4" w:space="0" w:color="auto"/>
              <w:right w:val="single" w:sz="4" w:space="0" w:color="auto"/>
            </w:tcBorders>
            <w:shd w:val="clear" w:color="000000" w:fill="FFFF00"/>
            <w:noWrap/>
            <w:vAlign w:val="bottom"/>
            <w:hideMark/>
          </w:tcPr>
          <w:p w:rsidR="00E2528D" w:rsidRPr="00E2528D" w:rsidRDefault="00E2528D" w:rsidP="00E2528D">
            <w:pPr>
              <w:spacing w:after="0" w:line="240" w:lineRule="auto"/>
              <w:rPr>
                <w:rFonts w:ascii="Calibri" w:eastAsia="Times New Roman" w:hAnsi="Calibri" w:cs="Calibri"/>
                <w:color w:val="000000"/>
                <w:sz w:val="24"/>
                <w:szCs w:val="24"/>
                <w:lang w:eastAsia="cs-CZ"/>
              </w:rPr>
            </w:pPr>
            <w:r w:rsidRPr="00E2528D">
              <w:rPr>
                <w:rFonts w:ascii="Calibri" w:eastAsia="Times New Roman" w:hAnsi="Calibri" w:cs="Calibri"/>
                <w:color w:val="000000"/>
                <w:sz w:val="24"/>
                <w:szCs w:val="24"/>
                <w:lang w:eastAsia="cs-CZ"/>
              </w:rPr>
              <w:t> </w:t>
            </w:r>
          </w:p>
        </w:tc>
        <w:tc>
          <w:tcPr>
            <w:tcW w:w="1420" w:type="dxa"/>
            <w:tcBorders>
              <w:top w:val="nil"/>
              <w:left w:val="nil"/>
              <w:bottom w:val="single" w:sz="4" w:space="0" w:color="auto"/>
              <w:right w:val="single" w:sz="4" w:space="0" w:color="auto"/>
            </w:tcBorders>
            <w:shd w:val="clear" w:color="000000" w:fill="FFFF00"/>
            <w:noWrap/>
            <w:vAlign w:val="bottom"/>
            <w:hideMark/>
          </w:tcPr>
          <w:p w:rsidR="00E2528D" w:rsidRPr="00E2528D" w:rsidRDefault="00E2528D" w:rsidP="00E2528D">
            <w:pPr>
              <w:spacing w:after="0" w:line="240" w:lineRule="auto"/>
              <w:rPr>
                <w:rFonts w:ascii="Calibri" w:eastAsia="Times New Roman" w:hAnsi="Calibri" w:cs="Calibri"/>
                <w:color w:val="000000"/>
                <w:sz w:val="24"/>
                <w:szCs w:val="24"/>
                <w:lang w:eastAsia="cs-CZ"/>
              </w:rPr>
            </w:pPr>
            <w:r w:rsidRPr="00E2528D">
              <w:rPr>
                <w:rFonts w:ascii="Calibri" w:eastAsia="Times New Roman" w:hAnsi="Calibri" w:cs="Calibri"/>
                <w:color w:val="000000"/>
                <w:sz w:val="24"/>
                <w:szCs w:val="24"/>
                <w:lang w:eastAsia="cs-CZ"/>
              </w:rPr>
              <w:t> </w:t>
            </w:r>
          </w:p>
        </w:tc>
        <w:tc>
          <w:tcPr>
            <w:tcW w:w="1320" w:type="dxa"/>
            <w:tcBorders>
              <w:top w:val="nil"/>
              <w:left w:val="nil"/>
              <w:bottom w:val="single" w:sz="4" w:space="0" w:color="auto"/>
              <w:right w:val="single" w:sz="4" w:space="0" w:color="auto"/>
            </w:tcBorders>
            <w:shd w:val="clear" w:color="000000" w:fill="FFFF00"/>
            <w:noWrap/>
            <w:vAlign w:val="bottom"/>
            <w:hideMark/>
          </w:tcPr>
          <w:p w:rsidR="00E2528D" w:rsidRPr="00E2528D" w:rsidRDefault="00E2528D" w:rsidP="00E2528D">
            <w:pPr>
              <w:spacing w:after="0" w:line="240" w:lineRule="auto"/>
              <w:rPr>
                <w:rFonts w:ascii="Calibri" w:eastAsia="Times New Roman" w:hAnsi="Calibri" w:cs="Calibri"/>
                <w:color w:val="000000"/>
                <w:sz w:val="24"/>
                <w:szCs w:val="24"/>
                <w:lang w:eastAsia="cs-CZ"/>
              </w:rPr>
            </w:pPr>
            <w:r w:rsidRPr="00E2528D">
              <w:rPr>
                <w:rFonts w:ascii="Calibri" w:eastAsia="Times New Roman" w:hAnsi="Calibri" w:cs="Calibri"/>
                <w:color w:val="000000"/>
                <w:sz w:val="24"/>
                <w:szCs w:val="24"/>
                <w:lang w:eastAsia="cs-CZ"/>
              </w:rPr>
              <w:t> </w:t>
            </w:r>
          </w:p>
        </w:tc>
      </w:tr>
      <w:tr w:rsidR="00E2528D" w:rsidRPr="00E2528D" w:rsidTr="00E2528D">
        <w:trPr>
          <w:trHeight w:val="315"/>
        </w:trPr>
        <w:tc>
          <w:tcPr>
            <w:tcW w:w="2440" w:type="dxa"/>
            <w:tcBorders>
              <w:top w:val="nil"/>
              <w:left w:val="single" w:sz="4" w:space="0" w:color="auto"/>
              <w:bottom w:val="nil"/>
              <w:right w:val="single" w:sz="4" w:space="0" w:color="auto"/>
            </w:tcBorders>
            <w:shd w:val="clear" w:color="auto" w:fill="auto"/>
            <w:noWrap/>
            <w:vAlign w:val="bottom"/>
            <w:hideMark/>
          </w:tcPr>
          <w:p w:rsidR="00E2528D" w:rsidRPr="00E2528D" w:rsidRDefault="00E2528D" w:rsidP="00E2528D">
            <w:pPr>
              <w:spacing w:after="0" w:line="240" w:lineRule="auto"/>
              <w:rPr>
                <w:rFonts w:ascii="Calibri" w:eastAsia="Times New Roman" w:hAnsi="Calibri" w:cs="Calibri"/>
                <w:color w:val="000000"/>
                <w:sz w:val="24"/>
                <w:szCs w:val="24"/>
                <w:lang w:eastAsia="cs-CZ"/>
              </w:rPr>
            </w:pPr>
            <w:r w:rsidRPr="00E2528D">
              <w:rPr>
                <w:rFonts w:ascii="Calibri" w:eastAsia="Times New Roman" w:hAnsi="Calibri" w:cs="Calibri"/>
                <w:color w:val="000000"/>
                <w:sz w:val="24"/>
                <w:szCs w:val="24"/>
                <w:lang w:eastAsia="cs-CZ"/>
              </w:rPr>
              <w:t>Třída 3</w:t>
            </w:r>
          </w:p>
        </w:tc>
        <w:tc>
          <w:tcPr>
            <w:tcW w:w="4120" w:type="dxa"/>
            <w:tcBorders>
              <w:top w:val="nil"/>
              <w:left w:val="nil"/>
              <w:bottom w:val="single" w:sz="4" w:space="0" w:color="auto"/>
              <w:right w:val="single" w:sz="4" w:space="0" w:color="auto"/>
            </w:tcBorders>
            <w:shd w:val="clear" w:color="auto" w:fill="auto"/>
            <w:noWrap/>
            <w:vAlign w:val="bottom"/>
            <w:hideMark/>
          </w:tcPr>
          <w:p w:rsidR="00E2528D" w:rsidRPr="00E2528D" w:rsidRDefault="00E2528D" w:rsidP="00E2528D">
            <w:pPr>
              <w:spacing w:after="0" w:line="240" w:lineRule="auto"/>
              <w:rPr>
                <w:rFonts w:ascii="Calibri" w:eastAsia="Times New Roman" w:hAnsi="Calibri" w:cs="Calibri"/>
                <w:color w:val="000000"/>
                <w:sz w:val="24"/>
                <w:szCs w:val="24"/>
                <w:lang w:eastAsia="cs-CZ"/>
              </w:rPr>
            </w:pPr>
            <w:r w:rsidRPr="00E2528D">
              <w:rPr>
                <w:rFonts w:ascii="Calibri" w:eastAsia="Times New Roman" w:hAnsi="Calibri" w:cs="Calibri"/>
                <w:color w:val="000000"/>
                <w:sz w:val="24"/>
                <w:szCs w:val="24"/>
                <w:lang w:eastAsia="cs-CZ"/>
              </w:rPr>
              <w:t> </w:t>
            </w:r>
          </w:p>
        </w:tc>
        <w:tc>
          <w:tcPr>
            <w:tcW w:w="1420" w:type="dxa"/>
            <w:tcBorders>
              <w:top w:val="nil"/>
              <w:left w:val="nil"/>
              <w:bottom w:val="single" w:sz="4" w:space="0" w:color="auto"/>
              <w:right w:val="single" w:sz="4" w:space="0" w:color="auto"/>
            </w:tcBorders>
            <w:shd w:val="clear" w:color="auto" w:fill="auto"/>
            <w:noWrap/>
            <w:vAlign w:val="bottom"/>
            <w:hideMark/>
          </w:tcPr>
          <w:p w:rsidR="00E2528D" w:rsidRPr="00E2528D" w:rsidRDefault="00E2528D" w:rsidP="00E2528D">
            <w:pPr>
              <w:spacing w:after="0" w:line="240" w:lineRule="auto"/>
              <w:rPr>
                <w:rFonts w:ascii="Calibri" w:eastAsia="Times New Roman" w:hAnsi="Calibri" w:cs="Calibri"/>
                <w:color w:val="000000"/>
                <w:sz w:val="24"/>
                <w:szCs w:val="24"/>
                <w:lang w:eastAsia="cs-CZ"/>
              </w:rPr>
            </w:pPr>
            <w:r w:rsidRPr="00E2528D">
              <w:rPr>
                <w:rFonts w:ascii="Calibri" w:eastAsia="Times New Roman" w:hAnsi="Calibri" w:cs="Calibri"/>
                <w:color w:val="000000"/>
                <w:sz w:val="24"/>
                <w:szCs w:val="24"/>
                <w:lang w:eastAsia="cs-CZ"/>
              </w:rPr>
              <w:t> </w:t>
            </w:r>
          </w:p>
        </w:tc>
        <w:tc>
          <w:tcPr>
            <w:tcW w:w="1320" w:type="dxa"/>
            <w:tcBorders>
              <w:top w:val="nil"/>
              <w:left w:val="nil"/>
              <w:bottom w:val="single" w:sz="4" w:space="0" w:color="auto"/>
              <w:right w:val="single" w:sz="4" w:space="0" w:color="auto"/>
            </w:tcBorders>
            <w:shd w:val="clear" w:color="auto" w:fill="auto"/>
            <w:noWrap/>
            <w:vAlign w:val="bottom"/>
            <w:hideMark/>
          </w:tcPr>
          <w:p w:rsidR="00E2528D" w:rsidRPr="00E2528D" w:rsidRDefault="00E2528D" w:rsidP="00E2528D">
            <w:pPr>
              <w:spacing w:after="0" w:line="240" w:lineRule="auto"/>
              <w:rPr>
                <w:rFonts w:ascii="Calibri" w:eastAsia="Times New Roman" w:hAnsi="Calibri" w:cs="Calibri"/>
                <w:color w:val="000000"/>
                <w:sz w:val="24"/>
                <w:szCs w:val="24"/>
                <w:lang w:eastAsia="cs-CZ"/>
              </w:rPr>
            </w:pPr>
            <w:r w:rsidRPr="00E2528D">
              <w:rPr>
                <w:rFonts w:ascii="Calibri" w:eastAsia="Times New Roman" w:hAnsi="Calibri" w:cs="Calibri"/>
                <w:color w:val="000000"/>
                <w:sz w:val="24"/>
                <w:szCs w:val="24"/>
                <w:lang w:eastAsia="cs-CZ"/>
              </w:rPr>
              <w:t> </w:t>
            </w:r>
          </w:p>
        </w:tc>
      </w:tr>
      <w:tr w:rsidR="00E2528D" w:rsidRPr="00E2528D" w:rsidTr="00E2528D">
        <w:trPr>
          <w:trHeight w:val="315"/>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E2528D" w:rsidRPr="00E2528D" w:rsidRDefault="00E2528D" w:rsidP="00E2528D">
            <w:pPr>
              <w:spacing w:after="0" w:line="240" w:lineRule="auto"/>
              <w:rPr>
                <w:rFonts w:ascii="Calibri" w:eastAsia="Times New Roman" w:hAnsi="Calibri" w:cs="Calibri"/>
                <w:color w:val="000000"/>
                <w:sz w:val="24"/>
                <w:szCs w:val="24"/>
                <w:lang w:eastAsia="cs-CZ"/>
              </w:rPr>
            </w:pPr>
            <w:r w:rsidRPr="00E2528D">
              <w:rPr>
                <w:rFonts w:ascii="Calibri" w:eastAsia="Times New Roman" w:hAnsi="Calibri" w:cs="Calibri"/>
                <w:color w:val="000000"/>
                <w:sz w:val="24"/>
                <w:szCs w:val="24"/>
                <w:lang w:eastAsia="cs-CZ"/>
              </w:rPr>
              <w:t>Kapitálové příjmy</w:t>
            </w:r>
          </w:p>
        </w:tc>
        <w:tc>
          <w:tcPr>
            <w:tcW w:w="4120" w:type="dxa"/>
            <w:tcBorders>
              <w:top w:val="nil"/>
              <w:left w:val="nil"/>
              <w:bottom w:val="single" w:sz="4" w:space="0" w:color="auto"/>
              <w:right w:val="single" w:sz="4" w:space="0" w:color="auto"/>
            </w:tcBorders>
            <w:shd w:val="clear" w:color="auto" w:fill="auto"/>
            <w:noWrap/>
            <w:vAlign w:val="bottom"/>
            <w:hideMark/>
          </w:tcPr>
          <w:p w:rsidR="00E2528D" w:rsidRPr="00E2528D" w:rsidRDefault="00E2528D" w:rsidP="00E2528D">
            <w:pPr>
              <w:spacing w:after="0" w:line="240" w:lineRule="auto"/>
              <w:rPr>
                <w:rFonts w:ascii="Calibri" w:eastAsia="Times New Roman" w:hAnsi="Calibri" w:cs="Calibri"/>
                <w:color w:val="000000"/>
                <w:sz w:val="24"/>
                <w:szCs w:val="24"/>
                <w:lang w:eastAsia="cs-CZ"/>
              </w:rPr>
            </w:pPr>
            <w:r w:rsidRPr="00E2528D">
              <w:rPr>
                <w:rFonts w:ascii="Calibri" w:eastAsia="Times New Roman" w:hAnsi="Calibri" w:cs="Calibri"/>
                <w:color w:val="000000"/>
                <w:sz w:val="24"/>
                <w:szCs w:val="24"/>
                <w:lang w:eastAsia="cs-CZ"/>
              </w:rPr>
              <w:t xml:space="preserve">                                      (</w:t>
            </w:r>
            <w:proofErr w:type="spellStart"/>
            <w:r w:rsidRPr="00E2528D">
              <w:rPr>
                <w:rFonts w:ascii="Calibri" w:eastAsia="Times New Roman" w:hAnsi="Calibri" w:cs="Calibri"/>
                <w:color w:val="000000"/>
                <w:sz w:val="24"/>
                <w:szCs w:val="24"/>
                <w:lang w:eastAsia="cs-CZ"/>
              </w:rPr>
              <w:t>Pol</w:t>
            </w:r>
            <w:proofErr w:type="spellEnd"/>
            <w:r w:rsidRPr="00E2528D">
              <w:rPr>
                <w:rFonts w:ascii="Calibri" w:eastAsia="Times New Roman" w:hAnsi="Calibri" w:cs="Calibri"/>
                <w:color w:val="000000"/>
                <w:sz w:val="24"/>
                <w:szCs w:val="24"/>
                <w:lang w:eastAsia="cs-CZ"/>
              </w:rPr>
              <w:t>: 3xxx)</w:t>
            </w:r>
          </w:p>
        </w:tc>
        <w:tc>
          <w:tcPr>
            <w:tcW w:w="1420" w:type="dxa"/>
            <w:tcBorders>
              <w:top w:val="nil"/>
              <w:left w:val="nil"/>
              <w:bottom w:val="single" w:sz="4" w:space="0" w:color="auto"/>
              <w:right w:val="single" w:sz="4" w:space="0" w:color="auto"/>
            </w:tcBorders>
            <w:shd w:val="clear" w:color="auto" w:fill="auto"/>
            <w:noWrap/>
            <w:vAlign w:val="bottom"/>
            <w:hideMark/>
          </w:tcPr>
          <w:p w:rsidR="00E2528D" w:rsidRPr="00E2528D" w:rsidRDefault="00E2528D" w:rsidP="00E2528D">
            <w:pPr>
              <w:spacing w:after="0" w:line="240" w:lineRule="auto"/>
              <w:jc w:val="right"/>
              <w:rPr>
                <w:rFonts w:ascii="Calibri" w:eastAsia="Times New Roman" w:hAnsi="Calibri" w:cs="Calibri"/>
                <w:color w:val="000000"/>
                <w:sz w:val="24"/>
                <w:szCs w:val="24"/>
                <w:lang w:eastAsia="cs-CZ"/>
              </w:rPr>
            </w:pPr>
            <w:r w:rsidRPr="00E2528D">
              <w:rPr>
                <w:rFonts w:ascii="Calibri" w:eastAsia="Times New Roman" w:hAnsi="Calibri" w:cs="Calibri"/>
                <w:color w:val="000000"/>
                <w:sz w:val="24"/>
                <w:szCs w:val="24"/>
                <w:lang w:eastAsia="cs-CZ"/>
              </w:rPr>
              <w:t>0</w:t>
            </w:r>
          </w:p>
        </w:tc>
        <w:tc>
          <w:tcPr>
            <w:tcW w:w="1320" w:type="dxa"/>
            <w:tcBorders>
              <w:top w:val="nil"/>
              <w:left w:val="nil"/>
              <w:bottom w:val="single" w:sz="4" w:space="0" w:color="auto"/>
              <w:right w:val="single" w:sz="4" w:space="0" w:color="auto"/>
            </w:tcBorders>
            <w:shd w:val="clear" w:color="auto" w:fill="auto"/>
            <w:noWrap/>
            <w:vAlign w:val="bottom"/>
            <w:hideMark/>
          </w:tcPr>
          <w:p w:rsidR="00E2528D" w:rsidRPr="00E2528D" w:rsidRDefault="00E2528D" w:rsidP="00E2528D">
            <w:pPr>
              <w:spacing w:after="0" w:line="240" w:lineRule="auto"/>
              <w:jc w:val="right"/>
              <w:rPr>
                <w:rFonts w:ascii="Calibri" w:eastAsia="Times New Roman" w:hAnsi="Calibri" w:cs="Calibri"/>
                <w:color w:val="000000"/>
                <w:sz w:val="24"/>
                <w:szCs w:val="24"/>
                <w:lang w:eastAsia="cs-CZ"/>
              </w:rPr>
            </w:pPr>
            <w:r w:rsidRPr="00E2528D">
              <w:rPr>
                <w:rFonts w:ascii="Calibri" w:eastAsia="Times New Roman" w:hAnsi="Calibri" w:cs="Calibri"/>
                <w:color w:val="000000"/>
                <w:sz w:val="24"/>
                <w:szCs w:val="24"/>
                <w:lang w:eastAsia="cs-CZ"/>
              </w:rPr>
              <w:t>0</w:t>
            </w:r>
          </w:p>
        </w:tc>
      </w:tr>
      <w:tr w:rsidR="00E2528D" w:rsidRPr="00E2528D" w:rsidTr="00E2528D">
        <w:trPr>
          <w:trHeight w:val="315"/>
        </w:trPr>
        <w:tc>
          <w:tcPr>
            <w:tcW w:w="2440" w:type="dxa"/>
            <w:tcBorders>
              <w:top w:val="nil"/>
              <w:left w:val="nil"/>
              <w:bottom w:val="nil"/>
              <w:right w:val="nil"/>
            </w:tcBorders>
            <w:shd w:val="clear" w:color="000000" w:fill="FFFF00"/>
            <w:noWrap/>
            <w:vAlign w:val="bottom"/>
            <w:hideMark/>
          </w:tcPr>
          <w:p w:rsidR="00E2528D" w:rsidRPr="00E2528D" w:rsidRDefault="00E2528D" w:rsidP="00E2528D">
            <w:pPr>
              <w:spacing w:after="0" w:line="240" w:lineRule="auto"/>
              <w:rPr>
                <w:rFonts w:ascii="Calibri" w:eastAsia="Times New Roman" w:hAnsi="Calibri" w:cs="Calibri"/>
                <w:color w:val="000000"/>
                <w:sz w:val="24"/>
                <w:szCs w:val="24"/>
                <w:lang w:eastAsia="cs-CZ"/>
              </w:rPr>
            </w:pPr>
            <w:r w:rsidRPr="00E2528D">
              <w:rPr>
                <w:rFonts w:ascii="Calibri" w:eastAsia="Times New Roman" w:hAnsi="Calibri" w:cs="Calibri"/>
                <w:color w:val="000000"/>
                <w:sz w:val="24"/>
                <w:szCs w:val="24"/>
                <w:lang w:eastAsia="cs-CZ"/>
              </w:rPr>
              <w:t> </w:t>
            </w:r>
          </w:p>
        </w:tc>
        <w:tc>
          <w:tcPr>
            <w:tcW w:w="4120" w:type="dxa"/>
            <w:tcBorders>
              <w:top w:val="nil"/>
              <w:left w:val="nil"/>
              <w:bottom w:val="nil"/>
              <w:right w:val="nil"/>
            </w:tcBorders>
            <w:shd w:val="clear" w:color="000000" w:fill="FFFF00"/>
            <w:noWrap/>
            <w:vAlign w:val="bottom"/>
            <w:hideMark/>
          </w:tcPr>
          <w:p w:rsidR="00E2528D" w:rsidRPr="00E2528D" w:rsidRDefault="00E2528D" w:rsidP="00E2528D">
            <w:pPr>
              <w:spacing w:after="0" w:line="240" w:lineRule="auto"/>
              <w:rPr>
                <w:rFonts w:ascii="Calibri" w:eastAsia="Times New Roman" w:hAnsi="Calibri" w:cs="Calibri"/>
                <w:color w:val="000000"/>
                <w:sz w:val="24"/>
                <w:szCs w:val="24"/>
                <w:lang w:eastAsia="cs-CZ"/>
              </w:rPr>
            </w:pPr>
            <w:r w:rsidRPr="00E2528D">
              <w:rPr>
                <w:rFonts w:ascii="Calibri" w:eastAsia="Times New Roman" w:hAnsi="Calibri" w:cs="Calibri"/>
                <w:color w:val="000000"/>
                <w:sz w:val="24"/>
                <w:szCs w:val="24"/>
                <w:lang w:eastAsia="cs-CZ"/>
              </w:rPr>
              <w:t> </w:t>
            </w:r>
          </w:p>
        </w:tc>
        <w:tc>
          <w:tcPr>
            <w:tcW w:w="1420" w:type="dxa"/>
            <w:tcBorders>
              <w:top w:val="nil"/>
              <w:left w:val="nil"/>
              <w:bottom w:val="nil"/>
              <w:right w:val="nil"/>
            </w:tcBorders>
            <w:shd w:val="clear" w:color="000000" w:fill="FFFF00"/>
            <w:noWrap/>
            <w:vAlign w:val="bottom"/>
            <w:hideMark/>
          </w:tcPr>
          <w:p w:rsidR="00E2528D" w:rsidRPr="00E2528D" w:rsidRDefault="00E2528D" w:rsidP="00E2528D">
            <w:pPr>
              <w:spacing w:after="0" w:line="240" w:lineRule="auto"/>
              <w:rPr>
                <w:rFonts w:ascii="Calibri" w:eastAsia="Times New Roman" w:hAnsi="Calibri" w:cs="Calibri"/>
                <w:color w:val="000000"/>
                <w:sz w:val="24"/>
                <w:szCs w:val="24"/>
                <w:lang w:eastAsia="cs-CZ"/>
              </w:rPr>
            </w:pPr>
            <w:r w:rsidRPr="00E2528D">
              <w:rPr>
                <w:rFonts w:ascii="Calibri" w:eastAsia="Times New Roman" w:hAnsi="Calibri" w:cs="Calibri"/>
                <w:color w:val="000000"/>
                <w:sz w:val="24"/>
                <w:szCs w:val="24"/>
                <w:lang w:eastAsia="cs-CZ"/>
              </w:rPr>
              <w:t> </w:t>
            </w:r>
          </w:p>
        </w:tc>
        <w:tc>
          <w:tcPr>
            <w:tcW w:w="1320" w:type="dxa"/>
            <w:tcBorders>
              <w:top w:val="nil"/>
              <w:left w:val="nil"/>
              <w:bottom w:val="nil"/>
              <w:right w:val="nil"/>
            </w:tcBorders>
            <w:shd w:val="clear" w:color="000000" w:fill="FFFF00"/>
            <w:noWrap/>
            <w:vAlign w:val="bottom"/>
            <w:hideMark/>
          </w:tcPr>
          <w:p w:rsidR="00E2528D" w:rsidRPr="00E2528D" w:rsidRDefault="00E2528D" w:rsidP="00E2528D">
            <w:pPr>
              <w:spacing w:after="0" w:line="240" w:lineRule="auto"/>
              <w:rPr>
                <w:rFonts w:ascii="Calibri" w:eastAsia="Times New Roman" w:hAnsi="Calibri" w:cs="Calibri"/>
                <w:color w:val="000000"/>
                <w:sz w:val="24"/>
                <w:szCs w:val="24"/>
                <w:lang w:eastAsia="cs-CZ"/>
              </w:rPr>
            </w:pPr>
            <w:r w:rsidRPr="00E2528D">
              <w:rPr>
                <w:rFonts w:ascii="Calibri" w:eastAsia="Times New Roman" w:hAnsi="Calibri" w:cs="Calibri"/>
                <w:color w:val="000000"/>
                <w:sz w:val="24"/>
                <w:szCs w:val="24"/>
                <w:lang w:eastAsia="cs-CZ"/>
              </w:rPr>
              <w:t> </w:t>
            </w:r>
          </w:p>
        </w:tc>
      </w:tr>
      <w:tr w:rsidR="00E2528D" w:rsidRPr="00E2528D" w:rsidTr="00E2528D">
        <w:trPr>
          <w:trHeight w:val="315"/>
        </w:trPr>
        <w:tc>
          <w:tcPr>
            <w:tcW w:w="2440" w:type="dxa"/>
            <w:tcBorders>
              <w:top w:val="single" w:sz="4" w:space="0" w:color="auto"/>
              <w:left w:val="single" w:sz="4" w:space="0" w:color="auto"/>
              <w:bottom w:val="nil"/>
              <w:right w:val="single" w:sz="4" w:space="0" w:color="auto"/>
            </w:tcBorders>
            <w:shd w:val="clear" w:color="auto" w:fill="auto"/>
            <w:noWrap/>
            <w:vAlign w:val="bottom"/>
            <w:hideMark/>
          </w:tcPr>
          <w:p w:rsidR="00E2528D" w:rsidRPr="00E2528D" w:rsidRDefault="00E2528D" w:rsidP="00E2528D">
            <w:pPr>
              <w:spacing w:after="0" w:line="240" w:lineRule="auto"/>
              <w:rPr>
                <w:rFonts w:ascii="Calibri" w:eastAsia="Times New Roman" w:hAnsi="Calibri" w:cs="Calibri"/>
                <w:color w:val="000000"/>
                <w:sz w:val="24"/>
                <w:szCs w:val="24"/>
                <w:lang w:eastAsia="cs-CZ"/>
              </w:rPr>
            </w:pPr>
            <w:r w:rsidRPr="00E2528D">
              <w:rPr>
                <w:rFonts w:ascii="Calibri" w:eastAsia="Times New Roman" w:hAnsi="Calibri" w:cs="Calibri"/>
                <w:color w:val="000000"/>
                <w:sz w:val="24"/>
                <w:szCs w:val="24"/>
                <w:lang w:eastAsia="cs-CZ"/>
              </w:rPr>
              <w:t>Třída 4</w:t>
            </w:r>
          </w:p>
        </w:tc>
        <w:tc>
          <w:tcPr>
            <w:tcW w:w="4120" w:type="dxa"/>
            <w:tcBorders>
              <w:top w:val="single" w:sz="4" w:space="0" w:color="auto"/>
              <w:left w:val="nil"/>
              <w:bottom w:val="single" w:sz="4" w:space="0" w:color="auto"/>
              <w:right w:val="single" w:sz="4" w:space="0" w:color="auto"/>
            </w:tcBorders>
            <w:shd w:val="clear" w:color="auto" w:fill="auto"/>
            <w:noWrap/>
            <w:vAlign w:val="bottom"/>
            <w:hideMark/>
          </w:tcPr>
          <w:p w:rsidR="00E2528D" w:rsidRPr="00E2528D" w:rsidRDefault="00E2528D" w:rsidP="00E2528D">
            <w:pPr>
              <w:spacing w:after="0" w:line="240" w:lineRule="auto"/>
              <w:rPr>
                <w:rFonts w:ascii="Calibri" w:eastAsia="Times New Roman" w:hAnsi="Calibri" w:cs="Calibri"/>
                <w:color w:val="000000"/>
                <w:sz w:val="24"/>
                <w:szCs w:val="24"/>
                <w:lang w:eastAsia="cs-CZ"/>
              </w:rPr>
            </w:pPr>
            <w:r w:rsidRPr="00E2528D">
              <w:rPr>
                <w:rFonts w:ascii="Calibri" w:eastAsia="Times New Roman" w:hAnsi="Calibri" w:cs="Calibri"/>
                <w:color w:val="000000"/>
                <w:sz w:val="24"/>
                <w:szCs w:val="24"/>
                <w:lang w:eastAsia="cs-CZ"/>
              </w:rPr>
              <w:t> </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rsidR="00E2528D" w:rsidRPr="00E2528D" w:rsidRDefault="00E2528D" w:rsidP="00E2528D">
            <w:pPr>
              <w:spacing w:after="0" w:line="240" w:lineRule="auto"/>
              <w:rPr>
                <w:rFonts w:ascii="Calibri" w:eastAsia="Times New Roman" w:hAnsi="Calibri" w:cs="Calibri"/>
                <w:color w:val="000000"/>
                <w:sz w:val="24"/>
                <w:szCs w:val="24"/>
                <w:lang w:eastAsia="cs-CZ"/>
              </w:rPr>
            </w:pPr>
            <w:r w:rsidRPr="00E2528D">
              <w:rPr>
                <w:rFonts w:ascii="Calibri" w:eastAsia="Times New Roman" w:hAnsi="Calibri" w:cs="Calibri"/>
                <w:color w:val="000000"/>
                <w:sz w:val="24"/>
                <w:szCs w:val="24"/>
                <w:lang w:eastAsia="cs-CZ"/>
              </w:rPr>
              <w:t> </w:t>
            </w:r>
          </w:p>
        </w:tc>
        <w:tc>
          <w:tcPr>
            <w:tcW w:w="1320" w:type="dxa"/>
            <w:tcBorders>
              <w:top w:val="single" w:sz="4" w:space="0" w:color="auto"/>
              <w:left w:val="nil"/>
              <w:bottom w:val="single" w:sz="4" w:space="0" w:color="auto"/>
              <w:right w:val="single" w:sz="4" w:space="0" w:color="auto"/>
            </w:tcBorders>
            <w:shd w:val="clear" w:color="auto" w:fill="auto"/>
            <w:noWrap/>
            <w:vAlign w:val="bottom"/>
            <w:hideMark/>
          </w:tcPr>
          <w:p w:rsidR="00E2528D" w:rsidRPr="00E2528D" w:rsidRDefault="00E2528D" w:rsidP="00E2528D">
            <w:pPr>
              <w:spacing w:after="0" w:line="240" w:lineRule="auto"/>
              <w:rPr>
                <w:rFonts w:ascii="Calibri" w:eastAsia="Times New Roman" w:hAnsi="Calibri" w:cs="Calibri"/>
                <w:color w:val="000000"/>
                <w:sz w:val="24"/>
                <w:szCs w:val="24"/>
                <w:lang w:eastAsia="cs-CZ"/>
              </w:rPr>
            </w:pPr>
            <w:r w:rsidRPr="00E2528D">
              <w:rPr>
                <w:rFonts w:ascii="Calibri" w:eastAsia="Times New Roman" w:hAnsi="Calibri" w:cs="Calibri"/>
                <w:color w:val="000000"/>
                <w:sz w:val="24"/>
                <w:szCs w:val="24"/>
                <w:lang w:eastAsia="cs-CZ"/>
              </w:rPr>
              <w:t> </w:t>
            </w:r>
          </w:p>
        </w:tc>
      </w:tr>
      <w:tr w:rsidR="00E2528D" w:rsidRPr="00E2528D" w:rsidTr="00E2528D">
        <w:trPr>
          <w:trHeight w:val="330"/>
        </w:trPr>
        <w:tc>
          <w:tcPr>
            <w:tcW w:w="2440" w:type="dxa"/>
            <w:tcBorders>
              <w:top w:val="nil"/>
              <w:left w:val="single" w:sz="4" w:space="0" w:color="auto"/>
              <w:bottom w:val="nil"/>
              <w:right w:val="single" w:sz="4" w:space="0" w:color="auto"/>
            </w:tcBorders>
            <w:shd w:val="clear" w:color="auto" w:fill="auto"/>
            <w:noWrap/>
            <w:vAlign w:val="bottom"/>
            <w:hideMark/>
          </w:tcPr>
          <w:p w:rsidR="00E2528D" w:rsidRPr="00E2528D" w:rsidRDefault="00E2528D" w:rsidP="00E2528D">
            <w:pPr>
              <w:spacing w:after="0" w:line="240" w:lineRule="auto"/>
              <w:rPr>
                <w:rFonts w:ascii="Calibri" w:eastAsia="Times New Roman" w:hAnsi="Calibri" w:cs="Calibri"/>
                <w:color w:val="000000"/>
                <w:sz w:val="24"/>
                <w:szCs w:val="24"/>
                <w:lang w:eastAsia="cs-CZ"/>
              </w:rPr>
            </w:pPr>
            <w:r w:rsidRPr="00E2528D">
              <w:rPr>
                <w:rFonts w:ascii="Calibri" w:eastAsia="Times New Roman" w:hAnsi="Calibri" w:cs="Calibri"/>
                <w:color w:val="000000"/>
                <w:sz w:val="24"/>
                <w:szCs w:val="24"/>
                <w:lang w:eastAsia="cs-CZ"/>
              </w:rPr>
              <w:t>Transfery</w:t>
            </w:r>
          </w:p>
        </w:tc>
        <w:tc>
          <w:tcPr>
            <w:tcW w:w="4120" w:type="dxa"/>
            <w:tcBorders>
              <w:top w:val="nil"/>
              <w:left w:val="nil"/>
              <w:bottom w:val="nil"/>
              <w:right w:val="single" w:sz="4" w:space="0" w:color="auto"/>
            </w:tcBorders>
            <w:shd w:val="clear" w:color="auto" w:fill="auto"/>
            <w:noWrap/>
            <w:vAlign w:val="bottom"/>
            <w:hideMark/>
          </w:tcPr>
          <w:p w:rsidR="00E2528D" w:rsidRPr="00E2528D" w:rsidRDefault="00E2528D" w:rsidP="00E2528D">
            <w:pPr>
              <w:spacing w:after="0" w:line="240" w:lineRule="auto"/>
              <w:rPr>
                <w:rFonts w:ascii="Calibri" w:eastAsia="Times New Roman" w:hAnsi="Calibri" w:cs="Calibri"/>
                <w:color w:val="000000"/>
                <w:sz w:val="24"/>
                <w:szCs w:val="24"/>
                <w:lang w:eastAsia="cs-CZ"/>
              </w:rPr>
            </w:pPr>
            <w:r w:rsidRPr="00E2528D">
              <w:rPr>
                <w:rFonts w:ascii="Calibri" w:eastAsia="Times New Roman" w:hAnsi="Calibri" w:cs="Calibri"/>
                <w:color w:val="000000"/>
                <w:sz w:val="24"/>
                <w:szCs w:val="24"/>
                <w:lang w:eastAsia="cs-CZ"/>
              </w:rPr>
              <w:t xml:space="preserve">                                     (Pol:4xxx)</w:t>
            </w:r>
          </w:p>
        </w:tc>
        <w:tc>
          <w:tcPr>
            <w:tcW w:w="1420" w:type="dxa"/>
            <w:tcBorders>
              <w:top w:val="nil"/>
              <w:left w:val="nil"/>
              <w:bottom w:val="nil"/>
              <w:right w:val="single" w:sz="4" w:space="0" w:color="auto"/>
            </w:tcBorders>
            <w:shd w:val="clear" w:color="auto" w:fill="auto"/>
            <w:noWrap/>
            <w:vAlign w:val="bottom"/>
            <w:hideMark/>
          </w:tcPr>
          <w:p w:rsidR="00E2528D" w:rsidRPr="00E2528D" w:rsidRDefault="00E2528D" w:rsidP="00E2528D">
            <w:pPr>
              <w:spacing w:after="0" w:line="240" w:lineRule="auto"/>
              <w:jc w:val="right"/>
              <w:rPr>
                <w:rFonts w:ascii="Calibri" w:eastAsia="Times New Roman" w:hAnsi="Calibri" w:cs="Calibri"/>
                <w:color w:val="000000"/>
                <w:sz w:val="24"/>
                <w:szCs w:val="24"/>
                <w:lang w:eastAsia="cs-CZ"/>
              </w:rPr>
            </w:pPr>
            <w:r w:rsidRPr="00E2528D">
              <w:rPr>
                <w:rFonts w:ascii="Calibri" w:eastAsia="Times New Roman" w:hAnsi="Calibri" w:cs="Calibri"/>
                <w:color w:val="000000"/>
                <w:sz w:val="24"/>
                <w:szCs w:val="24"/>
                <w:lang w:eastAsia="cs-CZ"/>
              </w:rPr>
              <w:t>4600</w:t>
            </w:r>
          </w:p>
        </w:tc>
        <w:tc>
          <w:tcPr>
            <w:tcW w:w="1320" w:type="dxa"/>
            <w:tcBorders>
              <w:top w:val="nil"/>
              <w:left w:val="nil"/>
              <w:bottom w:val="nil"/>
              <w:right w:val="single" w:sz="4" w:space="0" w:color="auto"/>
            </w:tcBorders>
            <w:shd w:val="clear" w:color="auto" w:fill="auto"/>
            <w:noWrap/>
            <w:vAlign w:val="bottom"/>
            <w:hideMark/>
          </w:tcPr>
          <w:p w:rsidR="00E2528D" w:rsidRPr="00E2528D" w:rsidRDefault="00E2528D" w:rsidP="00E2528D">
            <w:pPr>
              <w:spacing w:after="0" w:line="240" w:lineRule="auto"/>
              <w:jc w:val="right"/>
              <w:rPr>
                <w:rFonts w:ascii="Calibri" w:eastAsia="Times New Roman" w:hAnsi="Calibri" w:cs="Calibri"/>
                <w:color w:val="000000"/>
                <w:sz w:val="24"/>
                <w:szCs w:val="24"/>
                <w:lang w:eastAsia="cs-CZ"/>
              </w:rPr>
            </w:pPr>
            <w:r w:rsidRPr="00E2528D">
              <w:rPr>
                <w:rFonts w:ascii="Calibri" w:eastAsia="Times New Roman" w:hAnsi="Calibri" w:cs="Calibri"/>
                <w:color w:val="000000"/>
                <w:sz w:val="24"/>
                <w:szCs w:val="24"/>
                <w:lang w:eastAsia="cs-CZ"/>
              </w:rPr>
              <w:t>4200</w:t>
            </w:r>
          </w:p>
        </w:tc>
      </w:tr>
      <w:tr w:rsidR="00E2528D" w:rsidRPr="00E2528D" w:rsidTr="00E2528D">
        <w:trPr>
          <w:trHeight w:val="330"/>
        </w:trPr>
        <w:tc>
          <w:tcPr>
            <w:tcW w:w="2440" w:type="dxa"/>
            <w:tcBorders>
              <w:top w:val="single" w:sz="8" w:space="0" w:color="auto"/>
              <w:left w:val="single" w:sz="8" w:space="0" w:color="auto"/>
              <w:bottom w:val="single" w:sz="8" w:space="0" w:color="auto"/>
              <w:right w:val="single" w:sz="8" w:space="0" w:color="auto"/>
            </w:tcBorders>
            <w:shd w:val="clear" w:color="000000" w:fill="FFFF00"/>
            <w:noWrap/>
            <w:vAlign w:val="bottom"/>
            <w:hideMark/>
          </w:tcPr>
          <w:p w:rsidR="00E2528D" w:rsidRPr="00E2528D" w:rsidRDefault="00E2528D" w:rsidP="00E2528D">
            <w:pPr>
              <w:spacing w:after="0" w:line="240" w:lineRule="auto"/>
              <w:rPr>
                <w:rFonts w:ascii="Calibri" w:eastAsia="Times New Roman" w:hAnsi="Calibri" w:cs="Calibri"/>
                <w:b/>
                <w:bCs/>
                <w:color w:val="000000"/>
                <w:sz w:val="24"/>
                <w:szCs w:val="24"/>
                <w:lang w:eastAsia="cs-CZ"/>
              </w:rPr>
            </w:pPr>
            <w:r w:rsidRPr="00E2528D">
              <w:rPr>
                <w:rFonts w:ascii="Calibri" w:eastAsia="Times New Roman" w:hAnsi="Calibri" w:cs="Calibri"/>
                <w:b/>
                <w:bCs/>
                <w:color w:val="000000"/>
                <w:sz w:val="24"/>
                <w:szCs w:val="24"/>
                <w:lang w:eastAsia="cs-CZ"/>
              </w:rPr>
              <w:t>PŘÍJMY CELKEM</w:t>
            </w:r>
          </w:p>
        </w:tc>
        <w:tc>
          <w:tcPr>
            <w:tcW w:w="4120" w:type="dxa"/>
            <w:tcBorders>
              <w:top w:val="single" w:sz="8" w:space="0" w:color="auto"/>
              <w:left w:val="nil"/>
              <w:bottom w:val="single" w:sz="8" w:space="0" w:color="auto"/>
              <w:right w:val="single" w:sz="8" w:space="0" w:color="auto"/>
            </w:tcBorders>
            <w:shd w:val="clear" w:color="000000" w:fill="FFFF00"/>
            <w:noWrap/>
            <w:vAlign w:val="bottom"/>
            <w:hideMark/>
          </w:tcPr>
          <w:p w:rsidR="00E2528D" w:rsidRPr="00E2528D" w:rsidRDefault="00E2528D" w:rsidP="00E2528D">
            <w:pPr>
              <w:spacing w:after="0" w:line="240" w:lineRule="auto"/>
              <w:rPr>
                <w:rFonts w:ascii="Calibri" w:eastAsia="Times New Roman" w:hAnsi="Calibri" w:cs="Calibri"/>
                <w:b/>
                <w:bCs/>
                <w:color w:val="000000"/>
                <w:sz w:val="24"/>
                <w:szCs w:val="24"/>
                <w:lang w:eastAsia="cs-CZ"/>
              </w:rPr>
            </w:pPr>
            <w:r w:rsidRPr="00E2528D">
              <w:rPr>
                <w:rFonts w:ascii="Calibri" w:eastAsia="Times New Roman" w:hAnsi="Calibri" w:cs="Calibri"/>
                <w:b/>
                <w:bCs/>
                <w:color w:val="000000"/>
                <w:sz w:val="24"/>
                <w:szCs w:val="24"/>
                <w:lang w:eastAsia="cs-CZ"/>
              </w:rPr>
              <w:t> </w:t>
            </w:r>
          </w:p>
        </w:tc>
        <w:tc>
          <w:tcPr>
            <w:tcW w:w="1420" w:type="dxa"/>
            <w:tcBorders>
              <w:top w:val="single" w:sz="8" w:space="0" w:color="auto"/>
              <w:left w:val="nil"/>
              <w:bottom w:val="single" w:sz="8" w:space="0" w:color="auto"/>
              <w:right w:val="single" w:sz="8" w:space="0" w:color="auto"/>
            </w:tcBorders>
            <w:shd w:val="clear" w:color="000000" w:fill="FFFF00"/>
            <w:noWrap/>
            <w:vAlign w:val="bottom"/>
            <w:hideMark/>
          </w:tcPr>
          <w:p w:rsidR="00E2528D" w:rsidRPr="00E2528D" w:rsidRDefault="00E2528D" w:rsidP="00E2528D">
            <w:pPr>
              <w:spacing w:after="0" w:line="240" w:lineRule="auto"/>
              <w:jc w:val="right"/>
              <w:rPr>
                <w:rFonts w:ascii="Calibri" w:eastAsia="Times New Roman" w:hAnsi="Calibri" w:cs="Calibri"/>
                <w:b/>
                <w:bCs/>
                <w:color w:val="000000"/>
                <w:sz w:val="24"/>
                <w:szCs w:val="24"/>
                <w:lang w:eastAsia="cs-CZ"/>
              </w:rPr>
            </w:pPr>
            <w:r w:rsidRPr="00E2528D">
              <w:rPr>
                <w:rFonts w:ascii="Calibri" w:eastAsia="Times New Roman" w:hAnsi="Calibri" w:cs="Calibri"/>
                <w:b/>
                <w:bCs/>
                <w:color w:val="000000"/>
                <w:sz w:val="24"/>
                <w:szCs w:val="24"/>
                <w:lang w:eastAsia="cs-CZ"/>
              </w:rPr>
              <w:t>60000</w:t>
            </w:r>
          </w:p>
        </w:tc>
        <w:tc>
          <w:tcPr>
            <w:tcW w:w="1320" w:type="dxa"/>
            <w:tcBorders>
              <w:top w:val="single" w:sz="8" w:space="0" w:color="auto"/>
              <w:left w:val="nil"/>
              <w:bottom w:val="single" w:sz="8" w:space="0" w:color="auto"/>
              <w:right w:val="single" w:sz="8" w:space="0" w:color="auto"/>
            </w:tcBorders>
            <w:shd w:val="clear" w:color="000000" w:fill="FFFF00"/>
            <w:noWrap/>
            <w:vAlign w:val="bottom"/>
            <w:hideMark/>
          </w:tcPr>
          <w:p w:rsidR="00E2528D" w:rsidRPr="00E2528D" w:rsidRDefault="00E2528D" w:rsidP="00E2528D">
            <w:pPr>
              <w:spacing w:after="0" w:line="240" w:lineRule="auto"/>
              <w:jc w:val="right"/>
              <w:rPr>
                <w:rFonts w:ascii="Calibri" w:eastAsia="Times New Roman" w:hAnsi="Calibri" w:cs="Calibri"/>
                <w:b/>
                <w:bCs/>
                <w:color w:val="000000"/>
                <w:sz w:val="24"/>
                <w:szCs w:val="24"/>
                <w:lang w:eastAsia="cs-CZ"/>
              </w:rPr>
            </w:pPr>
            <w:r w:rsidRPr="00E2528D">
              <w:rPr>
                <w:rFonts w:ascii="Calibri" w:eastAsia="Times New Roman" w:hAnsi="Calibri" w:cs="Calibri"/>
                <w:b/>
                <w:bCs/>
                <w:color w:val="000000"/>
                <w:sz w:val="24"/>
                <w:szCs w:val="24"/>
                <w:lang w:eastAsia="cs-CZ"/>
              </w:rPr>
              <w:t>59000</w:t>
            </w:r>
          </w:p>
        </w:tc>
      </w:tr>
      <w:tr w:rsidR="00E2528D" w:rsidRPr="00E2528D" w:rsidTr="00E2528D">
        <w:trPr>
          <w:trHeight w:val="330"/>
        </w:trPr>
        <w:tc>
          <w:tcPr>
            <w:tcW w:w="2440" w:type="dxa"/>
            <w:tcBorders>
              <w:top w:val="nil"/>
              <w:left w:val="single" w:sz="8" w:space="0" w:color="auto"/>
              <w:bottom w:val="single" w:sz="8" w:space="0" w:color="auto"/>
              <w:right w:val="nil"/>
            </w:tcBorders>
            <w:shd w:val="clear" w:color="000000" w:fill="FFC000"/>
            <w:noWrap/>
            <w:vAlign w:val="bottom"/>
            <w:hideMark/>
          </w:tcPr>
          <w:p w:rsidR="00E2528D" w:rsidRPr="00E2528D" w:rsidRDefault="00E2528D" w:rsidP="00E2528D">
            <w:pPr>
              <w:spacing w:after="0" w:line="240" w:lineRule="auto"/>
              <w:rPr>
                <w:rFonts w:ascii="Calibri" w:eastAsia="Times New Roman" w:hAnsi="Calibri" w:cs="Calibri"/>
                <w:color w:val="000000"/>
                <w:sz w:val="24"/>
                <w:szCs w:val="24"/>
                <w:lang w:eastAsia="cs-CZ"/>
              </w:rPr>
            </w:pPr>
            <w:r w:rsidRPr="00E2528D">
              <w:rPr>
                <w:rFonts w:ascii="Calibri" w:eastAsia="Times New Roman" w:hAnsi="Calibri" w:cs="Calibri"/>
                <w:color w:val="000000"/>
                <w:sz w:val="24"/>
                <w:szCs w:val="24"/>
                <w:lang w:eastAsia="cs-CZ"/>
              </w:rPr>
              <w:t> </w:t>
            </w:r>
          </w:p>
        </w:tc>
        <w:tc>
          <w:tcPr>
            <w:tcW w:w="4120" w:type="dxa"/>
            <w:tcBorders>
              <w:top w:val="nil"/>
              <w:left w:val="nil"/>
              <w:bottom w:val="single" w:sz="8" w:space="0" w:color="auto"/>
              <w:right w:val="nil"/>
            </w:tcBorders>
            <w:shd w:val="clear" w:color="000000" w:fill="FFC000"/>
            <w:noWrap/>
            <w:vAlign w:val="bottom"/>
            <w:hideMark/>
          </w:tcPr>
          <w:p w:rsidR="00E2528D" w:rsidRPr="00E2528D" w:rsidRDefault="00E2528D" w:rsidP="00E2528D">
            <w:pPr>
              <w:spacing w:after="0" w:line="240" w:lineRule="auto"/>
              <w:rPr>
                <w:rFonts w:ascii="Calibri" w:eastAsia="Times New Roman" w:hAnsi="Calibri" w:cs="Calibri"/>
                <w:color w:val="000000"/>
                <w:sz w:val="24"/>
                <w:szCs w:val="24"/>
                <w:lang w:eastAsia="cs-CZ"/>
              </w:rPr>
            </w:pPr>
            <w:r w:rsidRPr="00E2528D">
              <w:rPr>
                <w:rFonts w:ascii="Calibri" w:eastAsia="Times New Roman" w:hAnsi="Calibri" w:cs="Calibri"/>
                <w:color w:val="000000"/>
                <w:sz w:val="24"/>
                <w:szCs w:val="24"/>
                <w:lang w:eastAsia="cs-CZ"/>
              </w:rPr>
              <w:t> </w:t>
            </w:r>
          </w:p>
        </w:tc>
        <w:tc>
          <w:tcPr>
            <w:tcW w:w="1420" w:type="dxa"/>
            <w:tcBorders>
              <w:top w:val="nil"/>
              <w:left w:val="nil"/>
              <w:bottom w:val="single" w:sz="8" w:space="0" w:color="auto"/>
              <w:right w:val="nil"/>
            </w:tcBorders>
            <w:shd w:val="clear" w:color="000000" w:fill="FFC000"/>
            <w:noWrap/>
            <w:vAlign w:val="bottom"/>
            <w:hideMark/>
          </w:tcPr>
          <w:p w:rsidR="00E2528D" w:rsidRPr="00E2528D" w:rsidRDefault="00E2528D" w:rsidP="00E2528D">
            <w:pPr>
              <w:spacing w:after="0" w:line="240" w:lineRule="auto"/>
              <w:rPr>
                <w:rFonts w:ascii="Calibri" w:eastAsia="Times New Roman" w:hAnsi="Calibri" w:cs="Calibri"/>
                <w:color w:val="000000"/>
                <w:sz w:val="24"/>
                <w:szCs w:val="24"/>
                <w:lang w:eastAsia="cs-CZ"/>
              </w:rPr>
            </w:pPr>
            <w:r w:rsidRPr="00E2528D">
              <w:rPr>
                <w:rFonts w:ascii="Calibri" w:eastAsia="Times New Roman" w:hAnsi="Calibri" w:cs="Calibri"/>
                <w:color w:val="000000"/>
                <w:sz w:val="24"/>
                <w:szCs w:val="24"/>
                <w:lang w:eastAsia="cs-CZ"/>
              </w:rPr>
              <w:t> </w:t>
            </w:r>
          </w:p>
        </w:tc>
        <w:tc>
          <w:tcPr>
            <w:tcW w:w="1320" w:type="dxa"/>
            <w:tcBorders>
              <w:top w:val="nil"/>
              <w:left w:val="nil"/>
              <w:bottom w:val="single" w:sz="8" w:space="0" w:color="auto"/>
              <w:right w:val="single" w:sz="8" w:space="0" w:color="auto"/>
            </w:tcBorders>
            <w:shd w:val="clear" w:color="000000" w:fill="FFC000"/>
            <w:noWrap/>
            <w:vAlign w:val="bottom"/>
            <w:hideMark/>
          </w:tcPr>
          <w:p w:rsidR="00E2528D" w:rsidRPr="00E2528D" w:rsidRDefault="00E2528D" w:rsidP="00E2528D">
            <w:pPr>
              <w:spacing w:after="0" w:line="240" w:lineRule="auto"/>
              <w:rPr>
                <w:rFonts w:ascii="Calibri" w:eastAsia="Times New Roman" w:hAnsi="Calibri" w:cs="Calibri"/>
                <w:color w:val="000000"/>
                <w:sz w:val="24"/>
                <w:szCs w:val="24"/>
                <w:lang w:eastAsia="cs-CZ"/>
              </w:rPr>
            </w:pPr>
            <w:r w:rsidRPr="00E2528D">
              <w:rPr>
                <w:rFonts w:ascii="Calibri" w:eastAsia="Times New Roman" w:hAnsi="Calibri" w:cs="Calibri"/>
                <w:color w:val="000000"/>
                <w:sz w:val="24"/>
                <w:szCs w:val="24"/>
                <w:lang w:eastAsia="cs-CZ"/>
              </w:rPr>
              <w:t> </w:t>
            </w:r>
          </w:p>
        </w:tc>
      </w:tr>
      <w:tr w:rsidR="00E2528D" w:rsidRPr="00E2528D" w:rsidTr="00E2528D">
        <w:trPr>
          <w:trHeight w:val="315"/>
        </w:trPr>
        <w:tc>
          <w:tcPr>
            <w:tcW w:w="2440" w:type="dxa"/>
            <w:tcBorders>
              <w:top w:val="nil"/>
              <w:left w:val="single" w:sz="4" w:space="0" w:color="auto"/>
              <w:bottom w:val="nil"/>
              <w:right w:val="single" w:sz="4" w:space="0" w:color="auto"/>
            </w:tcBorders>
            <w:shd w:val="clear" w:color="auto" w:fill="auto"/>
            <w:noWrap/>
            <w:vAlign w:val="bottom"/>
            <w:hideMark/>
          </w:tcPr>
          <w:p w:rsidR="00E2528D" w:rsidRPr="00E2528D" w:rsidRDefault="00E2528D" w:rsidP="00E2528D">
            <w:pPr>
              <w:spacing w:after="0" w:line="240" w:lineRule="auto"/>
              <w:rPr>
                <w:rFonts w:ascii="Calibri" w:eastAsia="Times New Roman" w:hAnsi="Calibri" w:cs="Calibri"/>
                <w:color w:val="000000"/>
                <w:sz w:val="24"/>
                <w:szCs w:val="24"/>
                <w:lang w:eastAsia="cs-CZ"/>
              </w:rPr>
            </w:pPr>
            <w:r w:rsidRPr="00E2528D">
              <w:rPr>
                <w:rFonts w:ascii="Calibri" w:eastAsia="Times New Roman" w:hAnsi="Calibri" w:cs="Calibri"/>
                <w:color w:val="000000"/>
                <w:sz w:val="24"/>
                <w:szCs w:val="24"/>
                <w:lang w:eastAsia="cs-CZ"/>
              </w:rPr>
              <w:t>Třída 5</w:t>
            </w:r>
          </w:p>
        </w:tc>
        <w:tc>
          <w:tcPr>
            <w:tcW w:w="4120" w:type="dxa"/>
            <w:tcBorders>
              <w:top w:val="nil"/>
              <w:left w:val="nil"/>
              <w:bottom w:val="single" w:sz="4" w:space="0" w:color="auto"/>
              <w:right w:val="single" w:sz="4" w:space="0" w:color="auto"/>
            </w:tcBorders>
            <w:shd w:val="clear" w:color="auto" w:fill="auto"/>
            <w:noWrap/>
            <w:vAlign w:val="bottom"/>
            <w:hideMark/>
          </w:tcPr>
          <w:p w:rsidR="00E2528D" w:rsidRPr="00E2528D" w:rsidRDefault="00E2528D" w:rsidP="00E2528D">
            <w:pPr>
              <w:spacing w:after="0" w:line="240" w:lineRule="auto"/>
              <w:rPr>
                <w:rFonts w:ascii="Calibri" w:eastAsia="Times New Roman" w:hAnsi="Calibri" w:cs="Calibri"/>
                <w:color w:val="000000"/>
                <w:sz w:val="24"/>
                <w:szCs w:val="24"/>
                <w:lang w:eastAsia="cs-CZ"/>
              </w:rPr>
            </w:pPr>
            <w:r w:rsidRPr="00E2528D">
              <w:rPr>
                <w:rFonts w:ascii="Calibri" w:eastAsia="Times New Roman" w:hAnsi="Calibri" w:cs="Calibri"/>
                <w:color w:val="000000"/>
                <w:sz w:val="24"/>
                <w:szCs w:val="24"/>
                <w:lang w:eastAsia="cs-CZ"/>
              </w:rPr>
              <w:t> </w:t>
            </w:r>
          </w:p>
        </w:tc>
        <w:tc>
          <w:tcPr>
            <w:tcW w:w="1420" w:type="dxa"/>
            <w:tcBorders>
              <w:top w:val="nil"/>
              <w:left w:val="nil"/>
              <w:bottom w:val="single" w:sz="4" w:space="0" w:color="auto"/>
              <w:right w:val="single" w:sz="4" w:space="0" w:color="auto"/>
            </w:tcBorders>
            <w:shd w:val="clear" w:color="auto" w:fill="auto"/>
            <w:noWrap/>
            <w:vAlign w:val="bottom"/>
            <w:hideMark/>
          </w:tcPr>
          <w:p w:rsidR="00E2528D" w:rsidRPr="00E2528D" w:rsidRDefault="00E2528D" w:rsidP="00E2528D">
            <w:pPr>
              <w:spacing w:after="0" w:line="240" w:lineRule="auto"/>
              <w:rPr>
                <w:rFonts w:ascii="Calibri" w:eastAsia="Times New Roman" w:hAnsi="Calibri" w:cs="Calibri"/>
                <w:color w:val="000000"/>
                <w:sz w:val="24"/>
                <w:szCs w:val="24"/>
                <w:lang w:eastAsia="cs-CZ"/>
              </w:rPr>
            </w:pPr>
            <w:r w:rsidRPr="00E2528D">
              <w:rPr>
                <w:rFonts w:ascii="Calibri" w:eastAsia="Times New Roman" w:hAnsi="Calibri" w:cs="Calibri"/>
                <w:color w:val="000000"/>
                <w:sz w:val="24"/>
                <w:szCs w:val="24"/>
                <w:lang w:eastAsia="cs-CZ"/>
              </w:rPr>
              <w:t> </w:t>
            </w:r>
          </w:p>
        </w:tc>
        <w:tc>
          <w:tcPr>
            <w:tcW w:w="1320" w:type="dxa"/>
            <w:tcBorders>
              <w:top w:val="nil"/>
              <w:left w:val="nil"/>
              <w:bottom w:val="single" w:sz="4" w:space="0" w:color="auto"/>
              <w:right w:val="single" w:sz="4" w:space="0" w:color="auto"/>
            </w:tcBorders>
            <w:shd w:val="clear" w:color="auto" w:fill="auto"/>
            <w:noWrap/>
            <w:vAlign w:val="bottom"/>
            <w:hideMark/>
          </w:tcPr>
          <w:p w:rsidR="00E2528D" w:rsidRPr="00E2528D" w:rsidRDefault="00E2528D" w:rsidP="00E2528D">
            <w:pPr>
              <w:spacing w:after="0" w:line="240" w:lineRule="auto"/>
              <w:rPr>
                <w:rFonts w:ascii="Calibri" w:eastAsia="Times New Roman" w:hAnsi="Calibri" w:cs="Calibri"/>
                <w:color w:val="000000"/>
                <w:sz w:val="24"/>
                <w:szCs w:val="24"/>
                <w:lang w:eastAsia="cs-CZ"/>
              </w:rPr>
            </w:pPr>
            <w:r w:rsidRPr="00E2528D">
              <w:rPr>
                <w:rFonts w:ascii="Calibri" w:eastAsia="Times New Roman" w:hAnsi="Calibri" w:cs="Calibri"/>
                <w:color w:val="000000"/>
                <w:sz w:val="24"/>
                <w:szCs w:val="24"/>
                <w:lang w:eastAsia="cs-CZ"/>
              </w:rPr>
              <w:t> </w:t>
            </w:r>
          </w:p>
        </w:tc>
      </w:tr>
      <w:tr w:rsidR="00E2528D" w:rsidRPr="00E2528D" w:rsidTr="00E2528D">
        <w:trPr>
          <w:trHeight w:val="315"/>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E2528D" w:rsidRPr="00E2528D" w:rsidRDefault="00E2528D" w:rsidP="00E2528D">
            <w:pPr>
              <w:spacing w:after="0" w:line="240" w:lineRule="auto"/>
              <w:rPr>
                <w:rFonts w:ascii="Calibri" w:eastAsia="Times New Roman" w:hAnsi="Calibri" w:cs="Calibri"/>
                <w:color w:val="000000"/>
                <w:sz w:val="24"/>
                <w:szCs w:val="24"/>
                <w:lang w:eastAsia="cs-CZ"/>
              </w:rPr>
            </w:pPr>
            <w:r w:rsidRPr="00E2528D">
              <w:rPr>
                <w:rFonts w:ascii="Calibri" w:eastAsia="Times New Roman" w:hAnsi="Calibri" w:cs="Calibri"/>
                <w:color w:val="000000"/>
                <w:sz w:val="24"/>
                <w:szCs w:val="24"/>
                <w:lang w:eastAsia="cs-CZ"/>
              </w:rPr>
              <w:t>Běžné výdaje</w:t>
            </w:r>
          </w:p>
        </w:tc>
        <w:tc>
          <w:tcPr>
            <w:tcW w:w="4120" w:type="dxa"/>
            <w:tcBorders>
              <w:top w:val="nil"/>
              <w:left w:val="nil"/>
              <w:bottom w:val="single" w:sz="4" w:space="0" w:color="auto"/>
              <w:right w:val="single" w:sz="4" w:space="0" w:color="auto"/>
            </w:tcBorders>
            <w:shd w:val="clear" w:color="auto" w:fill="auto"/>
            <w:noWrap/>
            <w:vAlign w:val="bottom"/>
            <w:hideMark/>
          </w:tcPr>
          <w:p w:rsidR="00E2528D" w:rsidRPr="00E2528D" w:rsidRDefault="00E2528D" w:rsidP="00E2528D">
            <w:pPr>
              <w:spacing w:after="0" w:line="240" w:lineRule="auto"/>
              <w:rPr>
                <w:rFonts w:ascii="Calibri" w:eastAsia="Times New Roman" w:hAnsi="Calibri" w:cs="Calibri"/>
                <w:color w:val="000000"/>
                <w:sz w:val="24"/>
                <w:szCs w:val="24"/>
                <w:lang w:eastAsia="cs-CZ"/>
              </w:rPr>
            </w:pPr>
            <w:r w:rsidRPr="00E2528D">
              <w:rPr>
                <w:rFonts w:ascii="Calibri" w:eastAsia="Times New Roman" w:hAnsi="Calibri" w:cs="Calibri"/>
                <w:color w:val="000000"/>
                <w:sz w:val="24"/>
                <w:szCs w:val="24"/>
                <w:lang w:eastAsia="cs-CZ"/>
              </w:rPr>
              <w:t xml:space="preserve">                                     </w:t>
            </w:r>
            <w:proofErr w:type="gramStart"/>
            <w:r w:rsidRPr="00E2528D">
              <w:rPr>
                <w:rFonts w:ascii="Calibri" w:eastAsia="Times New Roman" w:hAnsi="Calibri" w:cs="Calibri"/>
                <w:color w:val="000000"/>
                <w:sz w:val="24"/>
                <w:szCs w:val="24"/>
                <w:lang w:eastAsia="cs-CZ"/>
              </w:rPr>
              <w:t>( Pol</w:t>
            </w:r>
            <w:proofErr w:type="gramEnd"/>
            <w:r w:rsidRPr="00E2528D">
              <w:rPr>
                <w:rFonts w:ascii="Calibri" w:eastAsia="Times New Roman" w:hAnsi="Calibri" w:cs="Calibri"/>
                <w:color w:val="000000"/>
                <w:sz w:val="24"/>
                <w:szCs w:val="24"/>
                <w:lang w:eastAsia="cs-CZ"/>
              </w:rPr>
              <w:t>:5xxx)</w:t>
            </w:r>
          </w:p>
        </w:tc>
        <w:tc>
          <w:tcPr>
            <w:tcW w:w="1420" w:type="dxa"/>
            <w:tcBorders>
              <w:top w:val="nil"/>
              <w:left w:val="nil"/>
              <w:bottom w:val="single" w:sz="4" w:space="0" w:color="auto"/>
              <w:right w:val="single" w:sz="4" w:space="0" w:color="auto"/>
            </w:tcBorders>
            <w:shd w:val="clear" w:color="auto" w:fill="auto"/>
            <w:noWrap/>
            <w:vAlign w:val="bottom"/>
            <w:hideMark/>
          </w:tcPr>
          <w:p w:rsidR="00E2528D" w:rsidRPr="00E2528D" w:rsidRDefault="00E2528D" w:rsidP="00E2528D">
            <w:pPr>
              <w:spacing w:after="0" w:line="240" w:lineRule="auto"/>
              <w:jc w:val="right"/>
              <w:rPr>
                <w:rFonts w:ascii="Calibri" w:eastAsia="Times New Roman" w:hAnsi="Calibri" w:cs="Calibri"/>
                <w:color w:val="000000"/>
                <w:sz w:val="24"/>
                <w:szCs w:val="24"/>
                <w:lang w:eastAsia="cs-CZ"/>
              </w:rPr>
            </w:pPr>
            <w:r w:rsidRPr="00E2528D">
              <w:rPr>
                <w:rFonts w:ascii="Calibri" w:eastAsia="Times New Roman" w:hAnsi="Calibri" w:cs="Calibri"/>
                <w:color w:val="000000"/>
                <w:sz w:val="24"/>
                <w:szCs w:val="24"/>
                <w:lang w:eastAsia="cs-CZ"/>
              </w:rPr>
              <w:t>62300</w:t>
            </w:r>
          </w:p>
        </w:tc>
        <w:tc>
          <w:tcPr>
            <w:tcW w:w="1320" w:type="dxa"/>
            <w:tcBorders>
              <w:top w:val="nil"/>
              <w:left w:val="nil"/>
              <w:bottom w:val="single" w:sz="4" w:space="0" w:color="auto"/>
              <w:right w:val="single" w:sz="4" w:space="0" w:color="auto"/>
            </w:tcBorders>
            <w:shd w:val="clear" w:color="auto" w:fill="auto"/>
            <w:noWrap/>
            <w:vAlign w:val="bottom"/>
            <w:hideMark/>
          </w:tcPr>
          <w:p w:rsidR="00E2528D" w:rsidRPr="00E2528D" w:rsidRDefault="00E2528D" w:rsidP="00E2528D">
            <w:pPr>
              <w:spacing w:after="0" w:line="240" w:lineRule="auto"/>
              <w:jc w:val="right"/>
              <w:rPr>
                <w:rFonts w:ascii="Calibri" w:eastAsia="Times New Roman" w:hAnsi="Calibri" w:cs="Calibri"/>
                <w:color w:val="000000"/>
                <w:sz w:val="24"/>
                <w:szCs w:val="24"/>
                <w:lang w:eastAsia="cs-CZ"/>
              </w:rPr>
            </w:pPr>
            <w:r w:rsidRPr="00E2528D">
              <w:rPr>
                <w:rFonts w:ascii="Calibri" w:eastAsia="Times New Roman" w:hAnsi="Calibri" w:cs="Calibri"/>
                <w:color w:val="000000"/>
                <w:sz w:val="24"/>
                <w:szCs w:val="24"/>
                <w:lang w:eastAsia="cs-CZ"/>
              </w:rPr>
              <w:t>59800</w:t>
            </w:r>
          </w:p>
        </w:tc>
      </w:tr>
      <w:tr w:rsidR="00E2528D" w:rsidRPr="00E2528D" w:rsidTr="00E2528D">
        <w:trPr>
          <w:trHeight w:val="315"/>
        </w:trPr>
        <w:tc>
          <w:tcPr>
            <w:tcW w:w="2440" w:type="dxa"/>
            <w:tcBorders>
              <w:top w:val="nil"/>
              <w:left w:val="single" w:sz="4" w:space="0" w:color="auto"/>
              <w:bottom w:val="single" w:sz="4" w:space="0" w:color="auto"/>
              <w:right w:val="single" w:sz="4" w:space="0" w:color="auto"/>
            </w:tcBorders>
            <w:shd w:val="clear" w:color="000000" w:fill="FFFF00"/>
            <w:noWrap/>
            <w:vAlign w:val="bottom"/>
            <w:hideMark/>
          </w:tcPr>
          <w:p w:rsidR="00E2528D" w:rsidRPr="00E2528D" w:rsidRDefault="00E2528D" w:rsidP="00E2528D">
            <w:pPr>
              <w:spacing w:after="0" w:line="240" w:lineRule="auto"/>
              <w:rPr>
                <w:rFonts w:ascii="Calibri" w:eastAsia="Times New Roman" w:hAnsi="Calibri" w:cs="Calibri"/>
                <w:color w:val="000000"/>
                <w:sz w:val="24"/>
                <w:szCs w:val="24"/>
                <w:lang w:eastAsia="cs-CZ"/>
              </w:rPr>
            </w:pPr>
            <w:r w:rsidRPr="00E2528D">
              <w:rPr>
                <w:rFonts w:ascii="Calibri" w:eastAsia="Times New Roman" w:hAnsi="Calibri" w:cs="Calibri"/>
                <w:color w:val="000000"/>
                <w:sz w:val="24"/>
                <w:szCs w:val="24"/>
                <w:lang w:eastAsia="cs-CZ"/>
              </w:rPr>
              <w:t> </w:t>
            </w:r>
          </w:p>
        </w:tc>
        <w:tc>
          <w:tcPr>
            <w:tcW w:w="4120" w:type="dxa"/>
            <w:tcBorders>
              <w:top w:val="nil"/>
              <w:left w:val="nil"/>
              <w:bottom w:val="single" w:sz="4" w:space="0" w:color="auto"/>
              <w:right w:val="single" w:sz="4" w:space="0" w:color="auto"/>
            </w:tcBorders>
            <w:shd w:val="clear" w:color="000000" w:fill="FFFF00"/>
            <w:noWrap/>
            <w:vAlign w:val="bottom"/>
            <w:hideMark/>
          </w:tcPr>
          <w:p w:rsidR="00E2528D" w:rsidRPr="00E2528D" w:rsidRDefault="00E2528D" w:rsidP="00E2528D">
            <w:pPr>
              <w:spacing w:after="0" w:line="240" w:lineRule="auto"/>
              <w:rPr>
                <w:rFonts w:ascii="Calibri" w:eastAsia="Times New Roman" w:hAnsi="Calibri" w:cs="Calibri"/>
                <w:color w:val="000000"/>
                <w:sz w:val="24"/>
                <w:szCs w:val="24"/>
                <w:lang w:eastAsia="cs-CZ"/>
              </w:rPr>
            </w:pPr>
            <w:r w:rsidRPr="00E2528D">
              <w:rPr>
                <w:rFonts w:ascii="Calibri" w:eastAsia="Times New Roman" w:hAnsi="Calibri" w:cs="Calibri"/>
                <w:color w:val="000000"/>
                <w:sz w:val="24"/>
                <w:szCs w:val="24"/>
                <w:lang w:eastAsia="cs-CZ"/>
              </w:rPr>
              <w:t> </w:t>
            </w:r>
          </w:p>
        </w:tc>
        <w:tc>
          <w:tcPr>
            <w:tcW w:w="1420" w:type="dxa"/>
            <w:tcBorders>
              <w:top w:val="nil"/>
              <w:left w:val="nil"/>
              <w:bottom w:val="single" w:sz="4" w:space="0" w:color="auto"/>
              <w:right w:val="single" w:sz="4" w:space="0" w:color="auto"/>
            </w:tcBorders>
            <w:shd w:val="clear" w:color="000000" w:fill="FFFF00"/>
            <w:noWrap/>
            <w:vAlign w:val="bottom"/>
            <w:hideMark/>
          </w:tcPr>
          <w:p w:rsidR="00E2528D" w:rsidRPr="00E2528D" w:rsidRDefault="00E2528D" w:rsidP="00E2528D">
            <w:pPr>
              <w:spacing w:after="0" w:line="240" w:lineRule="auto"/>
              <w:rPr>
                <w:rFonts w:ascii="Calibri" w:eastAsia="Times New Roman" w:hAnsi="Calibri" w:cs="Calibri"/>
                <w:color w:val="000000"/>
                <w:sz w:val="24"/>
                <w:szCs w:val="24"/>
                <w:lang w:eastAsia="cs-CZ"/>
              </w:rPr>
            </w:pPr>
            <w:r w:rsidRPr="00E2528D">
              <w:rPr>
                <w:rFonts w:ascii="Calibri" w:eastAsia="Times New Roman" w:hAnsi="Calibri" w:cs="Calibri"/>
                <w:color w:val="000000"/>
                <w:sz w:val="24"/>
                <w:szCs w:val="24"/>
                <w:lang w:eastAsia="cs-CZ"/>
              </w:rPr>
              <w:t> </w:t>
            </w:r>
          </w:p>
        </w:tc>
        <w:tc>
          <w:tcPr>
            <w:tcW w:w="1320" w:type="dxa"/>
            <w:tcBorders>
              <w:top w:val="nil"/>
              <w:left w:val="nil"/>
              <w:bottom w:val="single" w:sz="4" w:space="0" w:color="auto"/>
              <w:right w:val="single" w:sz="4" w:space="0" w:color="auto"/>
            </w:tcBorders>
            <w:shd w:val="clear" w:color="000000" w:fill="FFFF00"/>
            <w:noWrap/>
            <w:vAlign w:val="bottom"/>
            <w:hideMark/>
          </w:tcPr>
          <w:p w:rsidR="00E2528D" w:rsidRPr="00E2528D" w:rsidRDefault="00E2528D" w:rsidP="00E2528D">
            <w:pPr>
              <w:spacing w:after="0" w:line="240" w:lineRule="auto"/>
              <w:rPr>
                <w:rFonts w:ascii="Calibri" w:eastAsia="Times New Roman" w:hAnsi="Calibri" w:cs="Calibri"/>
                <w:color w:val="000000"/>
                <w:sz w:val="24"/>
                <w:szCs w:val="24"/>
                <w:lang w:eastAsia="cs-CZ"/>
              </w:rPr>
            </w:pPr>
            <w:r w:rsidRPr="00E2528D">
              <w:rPr>
                <w:rFonts w:ascii="Calibri" w:eastAsia="Times New Roman" w:hAnsi="Calibri" w:cs="Calibri"/>
                <w:color w:val="000000"/>
                <w:sz w:val="24"/>
                <w:szCs w:val="24"/>
                <w:lang w:eastAsia="cs-CZ"/>
              </w:rPr>
              <w:t> </w:t>
            </w:r>
          </w:p>
        </w:tc>
      </w:tr>
      <w:tr w:rsidR="00E2528D" w:rsidRPr="00E2528D" w:rsidTr="00E2528D">
        <w:trPr>
          <w:trHeight w:val="315"/>
        </w:trPr>
        <w:tc>
          <w:tcPr>
            <w:tcW w:w="2440" w:type="dxa"/>
            <w:tcBorders>
              <w:top w:val="nil"/>
              <w:left w:val="single" w:sz="4" w:space="0" w:color="auto"/>
              <w:bottom w:val="nil"/>
              <w:right w:val="single" w:sz="4" w:space="0" w:color="auto"/>
            </w:tcBorders>
            <w:shd w:val="clear" w:color="auto" w:fill="auto"/>
            <w:noWrap/>
            <w:vAlign w:val="bottom"/>
            <w:hideMark/>
          </w:tcPr>
          <w:p w:rsidR="00E2528D" w:rsidRPr="00E2528D" w:rsidRDefault="00E2528D" w:rsidP="00E2528D">
            <w:pPr>
              <w:spacing w:after="0" w:line="240" w:lineRule="auto"/>
              <w:rPr>
                <w:rFonts w:ascii="Calibri" w:eastAsia="Times New Roman" w:hAnsi="Calibri" w:cs="Calibri"/>
                <w:color w:val="000000"/>
                <w:sz w:val="24"/>
                <w:szCs w:val="24"/>
                <w:lang w:eastAsia="cs-CZ"/>
              </w:rPr>
            </w:pPr>
            <w:r w:rsidRPr="00E2528D">
              <w:rPr>
                <w:rFonts w:ascii="Calibri" w:eastAsia="Times New Roman" w:hAnsi="Calibri" w:cs="Calibri"/>
                <w:color w:val="000000"/>
                <w:sz w:val="24"/>
                <w:szCs w:val="24"/>
                <w:lang w:eastAsia="cs-CZ"/>
              </w:rPr>
              <w:t>Třída 6</w:t>
            </w:r>
          </w:p>
        </w:tc>
        <w:tc>
          <w:tcPr>
            <w:tcW w:w="4120" w:type="dxa"/>
            <w:tcBorders>
              <w:top w:val="nil"/>
              <w:left w:val="nil"/>
              <w:bottom w:val="single" w:sz="4" w:space="0" w:color="auto"/>
              <w:right w:val="single" w:sz="4" w:space="0" w:color="auto"/>
            </w:tcBorders>
            <w:shd w:val="clear" w:color="auto" w:fill="auto"/>
            <w:noWrap/>
            <w:vAlign w:val="bottom"/>
            <w:hideMark/>
          </w:tcPr>
          <w:p w:rsidR="00E2528D" w:rsidRPr="00E2528D" w:rsidRDefault="00E2528D" w:rsidP="00E2528D">
            <w:pPr>
              <w:spacing w:after="0" w:line="240" w:lineRule="auto"/>
              <w:rPr>
                <w:rFonts w:ascii="Calibri" w:eastAsia="Times New Roman" w:hAnsi="Calibri" w:cs="Calibri"/>
                <w:color w:val="000000"/>
                <w:sz w:val="24"/>
                <w:szCs w:val="24"/>
                <w:lang w:eastAsia="cs-CZ"/>
              </w:rPr>
            </w:pPr>
            <w:r w:rsidRPr="00E2528D">
              <w:rPr>
                <w:rFonts w:ascii="Calibri" w:eastAsia="Times New Roman" w:hAnsi="Calibri" w:cs="Calibri"/>
                <w:color w:val="000000"/>
                <w:sz w:val="24"/>
                <w:szCs w:val="24"/>
                <w:lang w:eastAsia="cs-CZ"/>
              </w:rPr>
              <w:t> </w:t>
            </w:r>
          </w:p>
        </w:tc>
        <w:tc>
          <w:tcPr>
            <w:tcW w:w="1420" w:type="dxa"/>
            <w:tcBorders>
              <w:top w:val="nil"/>
              <w:left w:val="nil"/>
              <w:bottom w:val="single" w:sz="4" w:space="0" w:color="auto"/>
              <w:right w:val="single" w:sz="4" w:space="0" w:color="auto"/>
            </w:tcBorders>
            <w:shd w:val="clear" w:color="auto" w:fill="auto"/>
            <w:noWrap/>
            <w:vAlign w:val="bottom"/>
            <w:hideMark/>
          </w:tcPr>
          <w:p w:rsidR="00E2528D" w:rsidRPr="00E2528D" w:rsidRDefault="00E2528D" w:rsidP="00E2528D">
            <w:pPr>
              <w:spacing w:after="0" w:line="240" w:lineRule="auto"/>
              <w:rPr>
                <w:rFonts w:ascii="Calibri" w:eastAsia="Times New Roman" w:hAnsi="Calibri" w:cs="Calibri"/>
                <w:color w:val="000000"/>
                <w:sz w:val="24"/>
                <w:szCs w:val="24"/>
                <w:lang w:eastAsia="cs-CZ"/>
              </w:rPr>
            </w:pPr>
            <w:r w:rsidRPr="00E2528D">
              <w:rPr>
                <w:rFonts w:ascii="Calibri" w:eastAsia="Times New Roman" w:hAnsi="Calibri" w:cs="Calibri"/>
                <w:color w:val="000000"/>
                <w:sz w:val="24"/>
                <w:szCs w:val="24"/>
                <w:lang w:eastAsia="cs-CZ"/>
              </w:rPr>
              <w:t> </w:t>
            </w:r>
          </w:p>
        </w:tc>
        <w:tc>
          <w:tcPr>
            <w:tcW w:w="1320" w:type="dxa"/>
            <w:tcBorders>
              <w:top w:val="nil"/>
              <w:left w:val="nil"/>
              <w:bottom w:val="single" w:sz="4" w:space="0" w:color="auto"/>
              <w:right w:val="single" w:sz="4" w:space="0" w:color="auto"/>
            </w:tcBorders>
            <w:shd w:val="clear" w:color="auto" w:fill="auto"/>
            <w:noWrap/>
            <w:vAlign w:val="bottom"/>
            <w:hideMark/>
          </w:tcPr>
          <w:p w:rsidR="00E2528D" w:rsidRPr="00E2528D" w:rsidRDefault="00E2528D" w:rsidP="00E2528D">
            <w:pPr>
              <w:spacing w:after="0" w:line="240" w:lineRule="auto"/>
              <w:rPr>
                <w:rFonts w:ascii="Calibri" w:eastAsia="Times New Roman" w:hAnsi="Calibri" w:cs="Calibri"/>
                <w:color w:val="000000"/>
                <w:sz w:val="24"/>
                <w:szCs w:val="24"/>
                <w:lang w:eastAsia="cs-CZ"/>
              </w:rPr>
            </w:pPr>
            <w:r w:rsidRPr="00E2528D">
              <w:rPr>
                <w:rFonts w:ascii="Calibri" w:eastAsia="Times New Roman" w:hAnsi="Calibri" w:cs="Calibri"/>
                <w:color w:val="000000"/>
                <w:sz w:val="24"/>
                <w:szCs w:val="24"/>
                <w:lang w:eastAsia="cs-CZ"/>
              </w:rPr>
              <w:t> </w:t>
            </w:r>
          </w:p>
        </w:tc>
      </w:tr>
      <w:tr w:rsidR="00E2528D" w:rsidRPr="00E2528D" w:rsidTr="00E2528D">
        <w:trPr>
          <w:trHeight w:val="33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E2528D" w:rsidRPr="00E2528D" w:rsidRDefault="00E2528D" w:rsidP="00E2528D">
            <w:pPr>
              <w:spacing w:after="0" w:line="240" w:lineRule="auto"/>
              <w:rPr>
                <w:rFonts w:ascii="Calibri" w:eastAsia="Times New Roman" w:hAnsi="Calibri" w:cs="Calibri"/>
                <w:color w:val="000000"/>
                <w:sz w:val="24"/>
                <w:szCs w:val="24"/>
                <w:lang w:eastAsia="cs-CZ"/>
              </w:rPr>
            </w:pPr>
            <w:r w:rsidRPr="00E2528D">
              <w:rPr>
                <w:rFonts w:ascii="Calibri" w:eastAsia="Times New Roman" w:hAnsi="Calibri" w:cs="Calibri"/>
                <w:color w:val="000000"/>
                <w:sz w:val="24"/>
                <w:szCs w:val="24"/>
                <w:lang w:eastAsia="cs-CZ"/>
              </w:rPr>
              <w:t>Kapitálové výdaje</w:t>
            </w:r>
          </w:p>
        </w:tc>
        <w:tc>
          <w:tcPr>
            <w:tcW w:w="4120" w:type="dxa"/>
            <w:tcBorders>
              <w:top w:val="nil"/>
              <w:left w:val="nil"/>
              <w:bottom w:val="single" w:sz="4" w:space="0" w:color="auto"/>
              <w:right w:val="single" w:sz="4" w:space="0" w:color="auto"/>
            </w:tcBorders>
            <w:shd w:val="clear" w:color="auto" w:fill="auto"/>
            <w:noWrap/>
            <w:vAlign w:val="bottom"/>
            <w:hideMark/>
          </w:tcPr>
          <w:p w:rsidR="00E2528D" w:rsidRPr="00E2528D" w:rsidRDefault="00E2528D" w:rsidP="00E2528D">
            <w:pPr>
              <w:spacing w:after="0" w:line="240" w:lineRule="auto"/>
              <w:rPr>
                <w:rFonts w:ascii="Calibri" w:eastAsia="Times New Roman" w:hAnsi="Calibri" w:cs="Calibri"/>
                <w:color w:val="000000"/>
                <w:sz w:val="24"/>
                <w:szCs w:val="24"/>
                <w:lang w:eastAsia="cs-CZ"/>
              </w:rPr>
            </w:pPr>
            <w:r w:rsidRPr="00E2528D">
              <w:rPr>
                <w:rFonts w:ascii="Calibri" w:eastAsia="Times New Roman" w:hAnsi="Calibri" w:cs="Calibri"/>
                <w:color w:val="000000"/>
                <w:sz w:val="24"/>
                <w:szCs w:val="24"/>
                <w:lang w:eastAsia="cs-CZ"/>
              </w:rPr>
              <w:t xml:space="preserve">                                      (</w:t>
            </w:r>
            <w:proofErr w:type="spellStart"/>
            <w:r w:rsidRPr="00E2528D">
              <w:rPr>
                <w:rFonts w:ascii="Calibri" w:eastAsia="Times New Roman" w:hAnsi="Calibri" w:cs="Calibri"/>
                <w:color w:val="000000"/>
                <w:sz w:val="24"/>
                <w:szCs w:val="24"/>
                <w:lang w:eastAsia="cs-CZ"/>
              </w:rPr>
              <w:t>Pol</w:t>
            </w:r>
            <w:proofErr w:type="spellEnd"/>
            <w:r w:rsidRPr="00E2528D">
              <w:rPr>
                <w:rFonts w:ascii="Calibri" w:eastAsia="Times New Roman" w:hAnsi="Calibri" w:cs="Calibri"/>
                <w:color w:val="000000"/>
                <w:sz w:val="24"/>
                <w:szCs w:val="24"/>
                <w:lang w:eastAsia="cs-CZ"/>
              </w:rPr>
              <w:t>: 6xxx)</w:t>
            </w:r>
          </w:p>
        </w:tc>
        <w:tc>
          <w:tcPr>
            <w:tcW w:w="1420" w:type="dxa"/>
            <w:tcBorders>
              <w:top w:val="nil"/>
              <w:left w:val="nil"/>
              <w:bottom w:val="single" w:sz="4" w:space="0" w:color="auto"/>
              <w:right w:val="single" w:sz="4" w:space="0" w:color="auto"/>
            </w:tcBorders>
            <w:shd w:val="clear" w:color="auto" w:fill="auto"/>
            <w:noWrap/>
            <w:vAlign w:val="bottom"/>
            <w:hideMark/>
          </w:tcPr>
          <w:p w:rsidR="00E2528D" w:rsidRPr="00E2528D" w:rsidRDefault="00E2528D" w:rsidP="00E2528D">
            <w:pPr>
              <w:spacing w:after="0" w:line="240" w:lineRule="auto"/>
              <w:jc w:val="right"/>
              <w:rPr>
                <w:rFonts w:ascii="Calibri" w:eastAsia="Times New Roman" w:hAnsi="Calibri" w:cs="Calibri"/>
                <w:color w:val="000000"/>
                <w:sz w:val="24"/>
                <w:szCs w:val="24"/>
                <w:lang w:eastAsia="cs-CZ"/>
              </w:rPr>
            </w:pPr>
            <w:r w:rsidRPr="00E2528D">
              <w:rPr>
                <w:rFonts w:ascii="Calibri" w:eastAsia="Times New Roman" w:hAnsi="Calibri" w:cs="Calibri"/>
                <w:color w:val="000000"/>
                <w:sz w:val="24"/>
                <w:szCs w:val="24"/>
                <w:lang w:eastAsia="cs-CZ"/>
              </w:rPr>
              <w:t>3000</w:t>
            </w:r>
          </w:p>
        </w:tc>
        <w:tc>
          <w:tcPr>
            <w:tcW w:w="1320" w:type="dxa"/>
            <w:tcBorders>
              <w:top w:val="nil"/>
              <w:left w:val="nil"/>
              <w:bottom w:val="single" w:sz="4" w:space="0" w:color="auto"/>
              <w:right w:val="single" w:sz="4" w:space="0" w:color="auto"/>
            </w:tcBorders>
            <w:shd w:val="clear" w:color="auto" w:fill="auto"/>
            <w:noWrap/>
            <w:vAlign w:val="bottom"/>
            <w:hideMark/>
          </w:tcPr>
          <w:p w:rsidR="00E2528D" w:rsidRPr="00E2528D" w:rsidRDefault="00E2528D" w:rsidP="00E2528D">
            <w:pPr>
              <w:spacing w:after="0" w:line="240" w:lineRule="auto"/>
              <w:jc w:val="right"/>
              <w:rPr>
                <w:rFonts w:ascii="Calibri" w:eastAsia="Times New Roman" w:hAnsi="Calibri" w:cs="Calibri"/>
                <w:color w:val="000000"/>
                <w:sz w:val="24"/>
                <w:szCs w:val="24"/>
                <w:lang w:eastAsia="cs-CZ"/>
              </w:rPr>
            </w:pPr>
            <w:r w:rsidRPr="00E2528D">
              <w:rPr>
                <w:rFonts w:ascii="Calibri" w:eastAsia="Times New Roman" w:hAnsi="Calibri" w:cs="Calibri"/>
                <w:color w:val="000000"/>
                <w:sz w:val="24"/>
                <w:szCs w:val="24"/>
                <w:lang w:eastAsia="cs-CZ"/>
              </w:rPr>
              <w:t>4000</w:t>
            </w:r>
          </w:p>
        </w:tc>
      </w:tr>
      <w:tr w:rsidR="00E2528D" w:rsidRPr="00E2528D" w:rsidTr="00E2528D">
        <w:trPr>
          <w:trHeight w:val="330"/>
        </w:trPr>
        <w:tc>
          <w:tcPr>
            <w:tcW w:w="2440" w:type="dxa"/>
            <w:tcBorders>
              <w:top w:val="single" w:sz="8" w:space="0" w:color="auto"/>
              <w:left w:val="single" w:sz="8" w:space="0" w:color="auto"/>
              <w:bottom w:val="single" w:sz="8" w:space="0" w:color="auto"/>
              <w:right w:val="single" w:sz="8" w:space="0" w:color="auto"/>
            </w:tcBorders>
            <w:shd w:val="clear" w:color="000000" w:fill="FFFF00"/>
            <w:noWrap/>
            <w:vAlign w:val="bottom"/>
            <w:hideMark/>
          </w:tcPr>
          <w:p w:rsidR="00E2528D" w:rsidRPr="00E2528D" w:rsidRDefault="00E2528D" w:rsidP="00E2528D">
            <w:pPr>
              <w:spacing w:after="0" w:line="240" w:lineRule="auto"/>
              <w:rPr>
                <w:rFonts w:ascii="Calibri" w:eastAsia="Times New Roman" w:hAnsi="Calibri" w:cs="Calibri"/>
                <w:b/>
                <w:bCs/>
                <w:color w:val="000000"/>
                <w:sz w:val="24"/>
                <w:szCs w:val="24"/>
                <w:lang w:eastAsia="cs-CZ"/>
              </w:rPr>
            </w:pPr>
            <w:r w:rsidRPr="00E2528D">
              <w:rPr>
                <w:rFonts w:ascii="Calibri" w:eastAsia="Times New Roman" w:hAnsi="Calibri" w:cs="Calibri"/>
                <w:b/>
                <w:bCs/>
                <w:color w:val="000000"/>
                <w:sz w:val="24"/>
                <w:szCs w:val="24"/>
                <w:lang w:eastAsia="cs-CZ"/>
              </w:rPr>
              <w:t>VÝDAJE CELKEM</w:t>
            </w:r>
          </w:p>
        </w:tc>
        <w:tc>
          <w:tcPr>
            <w:tcW w:w="4120" w:type="dxa"/>
            <w:tcBorders>
              <w:top w:val="single" w:sz="8" w:space="0" w:color="auto"/>
              <w:left w:val="nil"/>
              <w:bottom w:val="single" w:sz="8" w:space="0" w:color="auto"/>
              <w:right w:val="single" w:sz="8" w:space="0" w:color="auto"/>
            </w:tcBorders>
            <w:shd w:val="clear" w:color="000000" w:fill="FFFF00"/>
            <w:noWrap/>
            <w:vAlign w:val="bottom"/>
            <w:hideMark/>
          </w:tcPr>
          <w:p w:rsidR="00E2528D" w:rsidRPr="00E2528D" w:rsidRDefault="00E2528D" w:rsidP="00E2528D">
            <w:pPr>
              <w:spacing w:after="0" w:line="240" w:lineRule="auto"/>
              <w:rPr>
                <w:rFonts w:ascii="Calibri" w:eastAsia="Times New Roman" w:hAnsi="Calibri" w:cs="Calibri"/>
                <w:b/>
                <w:bCs/>
                <w:color w:val="000000"/>
                <w:sz w:val="24"/>
                <w:szCs w:val="24"/>
                <w:lang w:eastAsia="cs-CZ"/>
              </w:rPr>
            </w:pPr>
            <w:r w:rsidRPr="00E2528D">
              <w:rPr>
                <w:rFonts w:ascii="Calibri" w:eastAsia="Times New Roman" w:hAnsi="Calibri" w:cs="Calibri"/>
                <w:b/>
                <w:bCs/>
                <w:color w:val="000000"/>
                <w:sz w:val="24"/>
                <w:szCs w:val="24"/>
                <w:lang w:eastAsia="cs-CZ"/>
              </w:rPr>
              <w:t> </w:t>
            </w:r>
          </w:p>
        </w:tc>
        <w:tc>
          <w:tcPr>
            <w:tcW w:w="1420" w:type="dxa"/>
            <w:tcBorders>
              <w:top w:val="single" w:sz="8" w:space="0" w:color="auto"/>
              <w:left w:val="nil"/>
              <w:bottom w:val="single" w:sz="8" w:space="0" w:color="auto"/>
              <w:right w:val="single" w:sz="8" w:space="0" w:color="auto"/>
            </w:tcBorders>
            <w:shd w:val="clear" w:color="000000" w:fill="FFFF00"/>
            <w:noWrap/>
            <w:vAlign w:val="bottom"/>
            <w:hideMark/>
          </w:tcPr>
          <w:p w:rsidR="00E2528D" w:rsidRPr="00E2528D" w:rsidRDefault="00E2528D" w:rsidP="00E2528D">
            <w:pPr>
              <w:spacing w:after="0" w:line="240" w:lineRule="auto"/>
              <w:jc w:val="right"/>
              <w:rPr>
                <w:rFonts w:ascii="Calibri" w:eastAsia="Times New Roman" w:hAnsi="Calibri" w:cs="Calibri"/>
                <w:b/>
                <w:bCs/>
                <w:color w:val="000000"/>
                <w:sz w:val="24"/>
                <w:szCs w:val="24"/>
                <w:lang w:eastAsia="cs-CZ"/>
              </w:rPr>
            </w:pPr>
            <w:r w:rsidRPr="00E2528D">
              <w:rPr>
                <w:rFonts w:ascii="Calibri" w:eastAsia="Times New Roman" w:hAnsi="Calibri" w:cs="Calibri"/>
                <w:b/>
                <w:bCs/>
                <w:color w:val="000000"/>
                <w:sz w:val="24"/>
                <w:szCs w:val="24"/>
                <w:lang w:eastAsia="cs-CZ"/>
              </w:rPr>
              <w:t>65300</w:t>
            </w:r>
          </w:p>
        </w:tc>
        <w:tc>
          <w:tcPr>
            <w:tcW w:w="1320" w:type="dxa"/>
            <w:tcBorders>
              <w:top w:val="single" w:sz="8" w:space="0" w:color="auto"/>
              <w:left w:val="nil"/>
              <w:bottom w:val="single" w:sz="8" w:space="0" w:color="auto"/>
              <w:right w:val="single" w:sz="8" w:space="0" w:color="auto"/>
            </w:tcBorders>
            <w:shd w:val="clear" w:color="000000" w:fill="FFFF00"/>
            <w:noWrap/>
            <w:vAlign w:val="bottom"/>
            <w:hideMark/>
          </w:tcPr>
          <w:p w:rsidR="00E2528D" w:rsidRPr="00E2528D" w:rsidRDefault="00E2528D" w:rsidP="00E2528D">
            <w:pPr>
              <w:spacing w:after="0" w:line="240" w:lineRule="auto"/>
              <w:jc w:val="right"/>
              <w:rPr>
                <w:rFonts w:ascii="Calibri" w:eastAsia="Times New Roman" w:hAnsi="Calibri" w:cs="Calibri"/>
                <w:b/>
                <w:bCs/>
                <w:color w:val="000000"/>
                <w:sz w:val="24"/>
                <w:szCs w:val="24"/>
                <w:lang w:eastAsia="cs-CZ"/>
              </w:rPr>
            </w:pPr>
            <w:r w:rsidRPr="00E2528D">
              <w:rPr>
                <w:rFonts w:ascii="Calibri" w:eastAsia="Times New Roman" w:hAnsi="Calibri" w:cs="Calibri"/>
                <w:b/>
                <w:bCs/>
                <w:color w:val="000000"/>
                <w:sz w:val="24"/>
                <w:szCs w:val="24"/>
                <w:lang w:eastAsia="cs-CZ"/>
              </w:rPr>
              <w:t>63800</w:t>
            </w:r>
          </w:p>
        </w:tc>
      </w:tr>
      <w:tr w:rsidR="00E2528D" w:rsidRPr="00E2528D" w:rsidTr="00E2528D">
        <w:trPr>
          <w:trHeight w:val="330"/>
        </w:trPr>
        <w:tc>
          <w:tcPr>
            <w:tcW w:w="2440" w:type="dxa"/>
            <w:tcBorders>
              <w:top w:val="nil"/>
              <w:left w:val="single" w:sz="8" w:space="0" w:color="auto"/>
              <w:bottom w:val="single" w:sz="8" w:space="0" w:color="auto"/>
              <w:right w:val="nil"/>
            </w:tcBorders>
            <w:shd w:val="clear" w:color="000000" w:fill="FFC000"/>
            <w:noWrap/>
            <w:vAlign w:val="bottom"/>
            <w:hideMark/>
          </w:tcPr>
          <w:p w:rsidR="00E2528D" w:rsidRPr="00E2528D" w:rsidRDefault="00E2528D" w:rsidP="00E2528D">
            <w:pPr>
              <w:spacing w:after="0" w:line="240" w:lineRule="auto"/>
              <w:rPr>
                <w:rFonts w:ascii="Calibri" w:eastAsia="Times New Roman" w:hAnsi="Calibri" w:cs="Calibri"/>
                <w:color w:val="000000"/>
                <w:sz w:val="24"/>
                <w:szCs w:val="24"/>
                <w:lang w:eastAsia="cs-CZ"/>
              </w:rPr>
            </w:pPr>
            <w:r w:rsidRPr="00E2528D">
              <w:rPr>
                <w:rFonts w:ascii="Calibri" w:eastAsia="Times New Roman" w:hAnsi="Calibri" w:cs="Calibri"/>
                <w:color w:val="000000"/>
                <w:sz w:val="24"/>
                <w:szCs w:val="24"/>
                <w:lang w:eastAsia="cs-CZ"/>
              </w:rPr>
              <w:t> </w:t>
            </w:r>
          </w:p>
        </w:tc>
        <w:tc>
          <w:tcPr>
            <w:tcW w:w="4120" w:type="dxa"/>
            <w:tcBorders>
              <w:top w:val="nil"/>
              <w:left w:val="nil"/>
              <w:bottom w:val="single" w:sz="8" w:space="0" w:color="auto"/>
              <w:right w:val="nil"/>
            </w:tcBorders>
            <w:shd w:val="clear" w:color="000000" w:fill="FFC000"/>
            <w:noWrap/>
            <w:vAlign w:val="bottom"/>
            <w:hideMark/>
          </w:tcPr>
          <w:p w:rsidR="00E2528D" w:rsidRPr="00E2528D" w:rsidRDefault="00E2528D" w:rsidP="00E2528D">
            <w:pPr>
              <w:spacing w:after="0" w:line="240" w:lineRule="auto"/>
              <w:rPr>
                <w:rFonts w:ascii="Calibri" w:eastAsia="Times New Roman" w:hAnsi="Calibri" w:cs="Calibri"/>
                <w:color w:val="000000"/>
                <w:sz w:val="24"/>
                <w:szCs w:val="24"/>
                <w:lang w:eastAsia="cs-CZ"/>
              </w:rPr>
            </w:pPr>
            <w:r w:rsidRPr="00E2528D">
              <w:rPr>
                <w:rFonts w:ascii="Calibri" w:eastAsia="Times New Roman" w:hAnsi="Calibri" w:cs="Calibri"/>
                <w:color w:val="000000"/>
                <w:sz w:val="24"/>
                <w:szCs w:val="24"/>
                <w:lang w:eastAsia="cs-CZ"/>
              </w:rPr>
              <w:t> </w:t>
            </w:r>
          </w:p>
        </w:tc>
        <w:tc>
          <w:tcPr>
            <w:tcW w:w="1420" w:type="dxa"/>
            <w:tcBorders>
              <w:top w:val="nil"/>
              <w:left w:val="nil"/>
              <w:bottom w:val="single" w:sz="8" w:space="0" w:color="auto"/>
              <w:right w:val="nil"/>
            </w:tcBorders>
            <w:shd w:val="clear" w:color="000000" w:fill="FFC000"/>
            <w:noWrap/>
            <w:vAlign w:val="bottom"/>
            <w:hideMark/>
          </w:tcPr>
          <w:p w:rsidR="00E2528D" w:rsidRPr="00E2528D" w:rsidRDefault="00E2528D" w:rsidP="00E2528D">
            <w:pPr>
              <w:spacing w:after="0" w:line="240" w:lineRule="auto"/>
              <w:rPr>
                <w:rFonts w:ascii="Calibri" w:eastAsia="Times New Roman" w:hAnsi="Calibri" w:cs="Calibri"/>
                <w:color w:val="000000"/>
                <w:sz w:val="24"/>
                <w:szCs w:val="24"/>
                <w:lang w:eastAsia="cs-CZ"/>
              </w:rPr>
            </w:pPr>
            <w:r w:rsidRPr="00E2528D">
              <w:rPr>
                <w:rFonts w:ascii="Calibri" w:eastAsia="Times New Roman" w:hAnsi="Calibri" w:cs="Calibri"/>
                <w:color w:val="000000"/>
                <w:sz w:val="24"/>
                <w:szCs w:val="24"/>
                <w:lang w:eastAsia="cs-CZ"/>
              </w:rPr>
              <w:t> </w:t>
            </w:r>
          </w:p>
        </w:tc>
        <w:tc>
          <w:tcPr>
            <w:tcW w:w="1320" w:type="dxa"/>
            <w:tcBorders>
              <w:top w:val="nil"/>
              <w:left w:val="nil"/>
              <w:bottom w:val="single" w:sz="8" w:space="0" w:color="auto"/>
              <w:right w:val="single" w:sz="8" w:space="0" w:color="auto"/>
            </w:tcBorders>
            <w:shd w:val="clear" w:color="000000" w:fill="FFC000"/>
            <w:noWrap/>
            <w:vAlign w:val="bottom"/>
            <w:hideMark/>
          </w:tcPr>
          <w:p w:rsidR="00E2528D" w:rsidRPr="00E2528D" w:rsidRDefault="00E2528D" w:rsidP="00E2528D">
            <w:pPr>
              <w:spacing w:after="0" w:line="240" w:lineRule="auto"/>
              <w:rPr>
                <w:rFonts w:ascii="Calibri" w:eastAsia="Times New Roman" w:hAnsi="Calibri" w:cs="Calibri"/>
                <w:color w:val="000000"/>
                <w:sz w:val="24"/>
                <w:szCs w:val="24"/>
                <w:lang w:eastAsia="cs-CZ"/>
              </w:rPr>
            </w:pPr>
            <w:r w:rsidRPr="00E2528D">
              <w:rPr>
                <w:rFonts w:ascii="Calibri" w:eastAsia="Times New Roman" w:hAnsi="Calibri" w:cs="Calibri"/>
                <w:color w:val="000000"/>
                <w:sz w:val="24"/>
                <w:szCs w:val="24"/>
                <w:lang w:eastAsia="cs-CZ"/>
              </w:rPr>
              <w:t> </w:t>
            </w:r>
          </w:p>
        </w:tc>
      </w:tr>
      <w:tr w:rsidR="00E2528D" w:rsidRPr="00E2528D" w:rsidTr="00E2528D">
        <w:trPr>
          <w:trHeight w:val="330"/>
        </w:trPr>
        <w:tc>
          <w:tcPr>
            <w:tcW w:w="2440" w:type="dxa"/>
            <w:tcBorders>
              <w:top w:val="nil"/>
              <w:left w:val="single" w:sz="8" w:space="0" w:color="auto"/>
              <w:bottom w:val="single" w:sz="8" w:space="0" w:color="auto"/>
              <w:right w:val="nil"/>
            </w:tcBorders>
            <w:shd w:val="clear" w:color="auto" w:fill="auto"/>
            <w:noWrap/>
            <w:vAlign w:val="bottom"/>
            <w:hideMark/>
          </w:tcPr>
          <w:p w:rsidR="00E2528D" w:rsidRPr="00E2528D" w:rsidRDefault="00E2528D" w:rsidP="00E2528D">
            <w:pPr>
              <w:spacing w:after="0" w:line="240" w:lineRule="auto"/>
              <w:rPr>
                <w:rFonts w:ascii="Calibri" w:eastAsia="Times New Roman" w:hAnsi="Calibri" w:cs="Calibri"/>
                <w:color w:val="000000"/>
                <w:sz w:val="24"/>
                <w:szCs w:val="24"/>
                <w:lang w:eastAsia="cs-CZ"/>
              </w:rPr>
            </w:pPr>
            <w:r w:rsidRPr="00E2528D">
              <w:rPr>
                <w:rFonts w:ascii="Calibri" w:eastAsia="Times New Roman" w:hAnsi="Calibri" w:cs="Calibri"/>
                <w:color w:val="000000"/>
                <w:sz w:val="24"/>
                <w:szCs w:val="24"/>
                <w:lang w:eastAsia="cs-CZ"/>
              </w:rPr>
              <w:t xml:space="preserve"> </w:t>
            </w:r>
          </w:p>
        </w:tc>
        <w:tc>
          <w:tcPr>
            <w:tcW w:w="4120" w:type="dxa"/>
            <w:tcBorders>
              <w:top w:val="nil"/>
              <w:left w:val="nil"/>
              <w:bottom w:val="single" w:sz="8" w:space="0" w:color="auto"/>
              <w:right w:val="nil"/>
            </w:tcBorders>
            <w:shd w:val="clear" w:color="auto" w:fill="auto"/>
            <w:noWrap/>
            <w:vAlign w:val="bottom"/>
            <w:hideMark/>
          </w:tcPr>
          <w:p w:rsidR="00E2528D" w:rsidRPr="00E2528D" w:rsidRDefault="00E2528D" w:rsidP="00E2528D">
            <w:pPr>
              <w:spacing w:after="0" w:line="240" w:lineRule="auto"/>
              <w:jc w:val="center"/>
              <w:rPr>
                <w:rFonts w:ascii="Calibri" w:eastAsia="Times New Roman" w:hAnsi="Calibri" w:cs="Calibri"/>
                <w:b/>
                <w:bCs/>
                <w:color w:val="000000"/>
                <w:sz w:val="24"/>
                <w:szCs w:val="24"/>
                <w:lang w:eastAsia="cs-CZ"/>
              </w:rPr>
            </w:pPr>
            <w:r w:rsidRPr="00E2528D">
              <w:rPr>
                <w:rFonts w:ascii="Calibri" w:eastAsia="Times New Roman" w:hAnsi="Calibri" w:cs="Calibri"/>
                <w:b/>
                <w:bCs/>
                <w:color w:val="000000"/>
                <w:sz w:val="24"/>
                <w:szCs w:val="24"/>
                <w:lang w:eastAsia="cs-CZ"/>
              </w:rPr>
              <w:t>SALDO PŘÍJMŮ A VÝDAJŮ</w:t>
            </w:r>
          </w:p>
        </w:tc>
        <w:tc>
          <w:tcPr>
            <w:tcW w:w="1420" w:type="dxa"/>
            <w:tcBorders>
              <w:top w:val="nil"/>
              <w:left w:val="nil"/>
              <w:bottom w:val="single" w:sz="8" w:space="0" w:color="auto"/>
              <w:right w:val="nil"/>
            </w:tcBorders>
            <w:shd w:val="clear" w:color="auto" w:fill="auto"/>
            <w:noWrap/>
            <w:vAlign w:val="bottom"/>
            <w:hideMark/>
          </w:tcPr>
          <w:p w:rsidR="00E2528D" w:rsidRPr="00E2528D" w:rsidRDefault="00E2528D" w:rsidP="00E2528D">
            <w:pPr>
              <w:spacing w:after="0" w:line="240" w:lineRule="auto"/>
              <w:jc w:val="right"/>
              <w:rPr>
                <w:rFonts w:ascii="Calibri" w:eastAsia="Times New Roman" w:hAnsi="Calibri" w:cs="Calibri"/>
                <w:b/>
                <w:bCs/>
                <w:color w:val="000000"/>
                <w:sz w:val="24"/>
                <w:szCs w:val="24"/>
                <w:lang w:eastAsia="cs-CZ"/>
              </w:rPr>
            </w:pPr>
            <w:r w:rsidRPr="00E2528D">
              <w:rPr>
                <w:rFonts w:ascii="Calibri" w:eastAsia="Times New Roman" w:hAnsi="Calibri" w:cs="Calibri"/>
                <w:b/>
                <w:bCs/>
                <w:color w:val="000000"/>
                <w:sz w:val="24"/>
                <w:szCs w:val="24"/>
                <w:lang w:eastAsia="cs-CZ"/>
              </w:rPr>
              <w:t>-5300</w:t>
            </w:r>
          </w:p>
        </w:tc>
        <w:tc>
          <w:tcPr>
            <w:tcW w:w="1320" w:type="dxa"/>
            <w:tcBorders>
              <w:top w:val="nil"/>
              <w:left w:val="nil"/>
              <w:bottom w:val="single" w:sz="8" w:space="0" w:color="auto"/>
              <w:right w:val="single" w:sz="8" w:space="0" w:color="auto"/>
            </w:tcBorders>
            <w:shd w:val="clear" w:color="auto" w:fill="auto"/>
            <w:noWrap/>
            <w:vAlign w:val="bottom"/>
            <w:hideMark/>
          </w:tcPr>
          <w:p w:rsidR="00E2528D" w:rsidRPr="00E2528D" w:rsidRDefault="00E2528D" w:rsidP="00E2528D">
            <w:pPr>
              <w:spacing w:after="0" w:line="240" w:lineRule="auto"/>
              <w:jc w:val="right"/>
              <w:rPr>
                <w:rFonts w:ascii="Calibri" w:eastAsia="Times New Roman" w:hAnsi="Calibri" w:cs="Calibri"/>
                <w:b/>
                <w:bCs/>
                <w:color w:val="000000"/>
                <w:sz w:val="24"/>
                <w:szCs w:val="24"/>
                <w:lang w:eastAsia="cs-CZ"/>
              </w:rPr>
            </w:pPr>
            <w:r w:rsidRPr="00E2528D">
              <w:rPr>
                <w:rFonts w:ascii="Calibri" w:eastAsia="Times New Roman" w:hAnsi="Calibri" w:cs="Calibri"/>
                <w:b/>
                <w:bCs/>
                <w:color w:val="000000"/>
                <w:sz w:val="24"/>
                <w:szCs w:val="24"/>
                <w:lang w:eastAsia="cs-CZ"/>
              </w:rPr>
              <w:t>-4800</w:t>
            </w:r>
          </w:p>
        </w:tc>
      </w:tr>
      <w:tr w:rsidR="00E2528D" w:rsidRPr="00E2528D" w:rsidTr="00E2528D">
        <w:trPr>
          <w:trHeight w:val="330"/>
        </w:trPr>
        <w:tc>
          <w:tcPr>
            <w:tcW w:w="2440" w:type="dxa"/>
            <w:tcBorders>
              <w:top w:val="nil"/>
              <w:left w:val="single" w:sz="8" w:space="0" w:color="auto"/>
              <w:bottom w:val="single" w:sz="8" w:space="0" w:color="auto"/>
              <w:right w:val="nil"/>
            </w:tcBorders>
            <w:shd w:val="clear" w:color="000000" w:fill="FFC000"/>
            <w:noWrap/>
            <w:vAlign w:val="bottom"/>
            <w:hideMark/>
          </w:tcPr>
          <w:p w:rsidR="00E2528D" w:rsidRPr="00E2528D" w:rsidRDefault="00E2528D" w:rsidP="00E2528D">
            <w:pPr>
              <w:spacing w:after="0" w:line="240" w:lineRule="auto"/>
              <w:rPr>
                <w:rFonts w:ascii="Calibri" w:eastAsia="Times New Roman" w:hAnsi="Calibri" w:cs="Calibri"/>
                <w:color w:val="000000"/>
                <w:sz w:val="24"/>
                <w:szCs w:val="24"/>
                <w:lang w:eastAsia="cs-CZ"/>
              </w:rPr>
            </w:pPr>
            <w:r w:rsidRPr="00E2528D">
              <w:rPr>
                <w:rFonts w:ascii="Calibri" w:eastAsia="Times New Roman" w:hAnsi="Calibri" w:cs="Calibri"/>
                <w:color w:val="000000"/>
                <w:sz w:val="24"/>
                <w:szCs w:val="24"/>
                <w:lang w:eastAsia="cs-CZ"/>
              </w:rPr>
              <w:t xml:space="preserve"> </w:t>
            </w:r>
          </w:p>
        </w:tc>
        <w:tc>
          <w:tcPr>
            <w:tcW w:w="4120" w:type="dxa"/>
            <w:tcBorders>
              <w:top w:val="nil"/>
              <w:left w:val="nil"/>
              <w:bottom w:val="single" w:sz="8" w:space="0" w:color="auto"/>
              <w:right w:val="nil"/>
            </w:tcBorders>
            <w:shd w:val="clear" w:color="000000" w:fill="FFC000"/>
            <w:noWrap/>
            <w:vAlign w:val="bottom"/>
            <w:hideMark/>
          </w:tcPr>
          <w:p w:rsidR="00E2528D" w:rsidRPr="00E2528D" w:rsidRDefault="00E2528D" w:rsidP="00E2528D">
            <w:pPr>
              <w:spacing w:after="0" w:line="240" w:lineRule="auto"/>
              <w:rPr>
                <w:rFonts w:ascii="Calibri" w:eastAsia="Times New Roman" w:hAnsi="Calibri" w:cs="Calibri"/>
                <w:color w:val="000000"/>
                <w:sz w:val="24"/>
                <w:szCs w:val="24"/>
                <w:lang w:eastAsia="cs-CZ"/>
              </w:rPr>
            </w:pPr>
            <w:r w:rsidRPr="00E2528D">
              <w:rPr>
                <w:rFonts w:ascii="Calibri" w:eastAsia="Times New Roman" w:hAnsi="Calibri" w:cs="Calibri"/>
                <w:color w:val="000000"/>
                <w:sz w:val="24"/>
                <w:szCs w:val="24"/>
                <w:lang w:eastAsia="cs-CZ"/>
              </w:rPr>
              <w:t> </w:t>
            </w:r>
          </w:p>
        </w:tc>
        <w:tc>
          <w:tcPr>
            <w:tcW w:w="1420" w:type="dxa"/>
            <w:tcBorders>
              <w:top w:val="nil"/>
              <w:left w:val="nil"/>
              <w:bottom w:val="single" w:sz="8" w:space="0" w:color="auto"/>
              <w:right w:val="nil"/>
            </w:tcBorders>
            <w:shd w:val="clear" w:color="000000" w:fill="FFC000"/>
            <w:noWrap/>
            <w:vAlign w:val="bottom"/>
            <w:hideMark/>
          </w:tcPr>
          <w:p w:rsidR="00E2528D" w:rsidRPr="00E2528D" w:rsidRDefault="00E2528D" w:rsidP="00E2528D">
            <w:pPr>
              <w:spacing w:after="0" w:line="240" w:lineRule="auto"/>
              <w:rPr>
                <w:rFonts w:ascii="Calibri" w:eastAsia="Times New Roman" w:hAnsi="Calibri" w:cs="Calibri"/>
                <w:color w:val="000000"/>
                <w:sz w:val="24"/>
                <w:szCs w:val="24"/>
                <w:lang w:eastAsia="cs-CZ"/>
              </w:rPr>
            </w:pPr>
            <w:r w:rsidRPr="00E2528D">
              <w:rPr>
                <w:rFonts w:ascii="Calibri" w:eastAsia="Times New Roman" w:hAnsi="Calibri" w:cs="Calibri"/>
                <w:color w:val="000000"/>
                <w:sz w:val="24"/>
                <w:szCs w:val="24"/>
                <w:lang w:eastAsia="cs-CZ"/>
              </w:rPr>
              <w:t> </w:t>
            </w:r>
          </w:p>
        </w:tc>
        <w:tc>
          <w:tcPr>
            <w:tcW w:w="1320" w:type="dxa"/>
            <w:tcBorders>
              <w:top w:val="nil"/>
              <w:left w:val="nil"/>
              <w:bottom w:val="single" w:sz="8" w:space="0" w:color="auto"/>
              <w:right w:val="single" w:sz="8" w:space="0" w:color="auto"/>
            </w:tcBorders>
            <w:shd w:val="clear" w:color="000000" w:fill="FFC000"/>
            <w:noWrap/>
            <w:vAlign w:val="bottom"/>
            <w:hideMark/>
          </w:tcPr>
          <w:p w:rsidR="00E2528D" w:rsidRPr="00E2528D" w:rsidRDefault="00E2528D" w:rsidP="00E2528D">
            <w:pPr>
              <w:spacing w:after="0" w:line="240" w:lineRule="auto"/>
              <w:rPr>
                <w:rFonts w:ascii="Calibri" w:eastAsia="Times New Roman" w:hAnsi="Calibri" w:cs="Calibri"/>
                <w:color w:val="000000"/>
                <w:sz w:val="24"/>
                <w:szCs w:val="24"/>
                <w:lang w:eastAsia="cs-CZ"/>
              </w:rPr>
            </w:pPr>
            <w:r w:rsidRPr="00E2528D">
              <w:rPr>
                <w:rFonts w:ascii="Calibri" w:eastAsia="Times New Roman" w:hAnsi="Calibri" w:cs="Calibri"/>
                <w:color w:val="000000"/>
                <w:sz w:val="24"/>
                <w:szCs w:val="24"/>
                <w:lang w:eastAsia="cs-CZ"/>
              </w:rPr>
              <w:t> </w:t>
            </w:r>
          </w:p>
        </w:tc>
      </w:tr>
      <w:tr w:rsidR="00E2528D" w:rsidRPr="00E2528D" w:rsidTr="00E2528D">
        <w:trPr>
          <w:trHeight w:val="315"/>
        </w:trPr>
        <w:tc>
          <w:tcPr>
            <w:tcW w:w="2440" w:type="dxa"/>
            <w:tcBorders>
              <w:top w:val="nil"/>
              <w:left w:val="single" w:sz="4" w:space="0" w:color="auto"/>
              <w:bottom w:val="nil"/>
              <w:right w:val="single" w:sz="4" w:space="0" w:color="auto"/>
            </w:tcBorders>
            <w:shd w:val="clear" w:color="auto" w:fill="auto"/>
            <w:noWrap/>
            <w:vAlign w:val="bottom"/>
            <w:hideMark/>
          </w:tcPr>
          <w:p w:rsidR="00E2528D" w:rsidRPr="00E2528D" w:rsidRDefault="00E2528D" w:rsidP="00E2528D">
            <w:pPr>
              <w:spacing w:after="0" w:line="240" w:lineRule="auto"/>
              <w:rPr>
                <w:rFonts w:ascii="Calibri" w:eastAsia="Times New Roman" w:hAnsi="Calibri" w:cs="Calibri"/>
                <w:color w:val="000000"/>
                <w:sz w:val="24"/>
                <w:szCs w:val="24"/>
                <w:lang w:eastAsia="cs-CZ"/>
              </w:rPr>
            </w:pPr>
            <w:r w:rsidRPr="00E2528D">
              <w:rPr>
                <w:rFonts w:ascii="Calibri" w:eastAsia="Times New Roman" w:hAnsi="Calibri" w:cs="Calibri"/>
                <w:color w:val="000000"/>
                <w:sz w:val="24"/>
                <w:szCs w:val="24"/>
                <w:lang w:eastAsia="cs-CZ"/>
              </w:rPr>
              <w:t>Třída 8</w:t>
            </w:r>
          </w:p>
        </w:tc>
        <w:tc>
          <w:tcPr>
            <w:tcW w:w="4120" w:type="dxa"/>
            <w:tcBorders>
              <w:top w:val="nil"/>
              <w:left w:val="nil"/>
              <w:bottom w:val="nil"/>
              <w:right w:val="nil"/>
            </w:tcBorders>
            <w:shd w:val="clear" w:color="auto" w:fill="auto"/>
            <w:noWrap/>
            <w:vAlign w:val="bottom"/>
            <w:hideMark/>
          </w:tcPr>
          <w:p w:rsidR="00E2528D" w:rsidRPr="00E2528D" w:rsidRDefault="00E2528D" w:rsidP="00E2528D">
            <w:pPr>
              <w:spacing w:after="0" w:line="240" w:lineRule="auto"/>
              <w:rPr>
                <w:rFonts w:ascii="Calibri" w:eastAsia="Times New Roman" w:hAnsi="Calibri" w:cs="Calibri"/>
                <w:color w:val="000000"/>
                <w:sz w:val="24"/>
                <w:szCs w:val="24"/>
                <w:lang w:eastAsia="cs-CZ"/>
              </w:rPr>
            </w:pPr>
            <w:r w:rsidRPr="00E2528D">
              <w:rPr>
                <w:rFonts w:ascii="Calibri" w:eastAsia="Times New Roman" w:hAnsi="Calibri" w:cs="Calibri"/>
                <w:color w:val="000000"/>
                <w:sz w:val="24"/>
                <w:szCs w:val="24"/>
                <w:lang w:eastAsia="cs-CZ"/>
              </w:rPr>
              <w:t> </w:t>
            </w:r>
          </w:p>
        </w:tc>
        <w:tc>
          <w:tcPr>
            <w:tcW w:w="1420" w:type="dxa"/>
            <w:tcBorders>
              <w:top w:val="nil"/>
              <w:left w:val="nil"/>
              <w:bottom w:val="nil"/>
              <w:right w:val="nil"/>
            </w:tcBorders>
            <w:shd w:val="clear" w:color="auto" w:fill="auto"/>
            <w:noWrap/>
            <w:vAlign w:val="bottom"/>
            <w:hideMark/>
          </w:tcPr>
          <w:p w:rsidR="00E2528D" w:rsidRPr="00E2528D" w:rsidRDefault="00E2528D" w:rsidP="00E2528D">
            <w:pPr>
              <w:spacing w:after="0" w:line="240" w:lineRule="auto"/>
              <w:rPr>
                <w:rFonts w:ascii="Calibri" w:eastAsia="Times New Roman" w:hAnsi="Calibri" w:cs="Calibri"/>
                <w:color w:val="000000"/>
                <w:sz w:val="24"/>
                <w:szCs w:val="24"/>
                <w:lang w:eastAsia="cs-CZ"/>
              </w:rPr>
            </w:pPr>
          </w:p>
        </w:tc>
        <w:tc>
          <w:tcPr>
            <w:tcW w:w="1320" w:type="dxa"/>
            <w:tcBorders>
              <w:top w:val="nil"/>
              <w:left w:val="nil"/>
              <w:bottom w:val="nil"/>
              <w:right w:val="single" w:sz="4" w:space="0" w:color="auto"/>
            </w:tcBorders>
            <w:shd w:val="clear" w:color="auto" w:fill="auto"/>
            <w:noWrap/>
            <w:vAlign w:val="bottom"/>
            <w:hideMark/>
          </w:tcPr>
          <w:p w:rsidR="00E2528D" w:rsidRPr="00E2528D" w:rsidRDefault="00E2528D" w:rsidP="00E2528D">
            <w:pPr>
              <w:spacing w:after="0" w:line="240" w:lineRule="auto"/>
              <w:rPr>
                <w:rFonts w:ascii="Calibri" w:eastAsia="Times New Roman" w:hAnsi="Calibri" w:cs="Calibri"/>
                <w:color w:val="000000"/>
                <w:sz w:val="24"/>
                <w:szCs w:val="24"/>
                <w:lang w:eastAsia="cs-CZ"/>
              </w:rPr>
            </w:pPr>
            <w:r w:rsidRPr="00E2528D">
              <w:rPr>
                <w:rFonts w:ascii="Calibri" w:eastAsia="Times New Roman" w:hAnsi="Calibri" w:cs="Calibri"/>
                <w:color w:val="000000"/>
                <w:sz w:val="24"/>
                <w:szCs w:val="24"/>
                <w:lang w:eastAsia="cs-CZ"/>
              </w:rPr>
              <w:t> </w:t>
            </w:r>
          </w:p>
        </w:tc>
      </w:tr>
      <w:tr w:rsidR="00E2528D" w:rsidRPr="00E2528D" w:rsidTr="00E2528D">
        <w:trPr>
          <w:trHeight w:val="315"/>
        </w:trPr>
        <w:tc>
          <w:tcPr>
            <w:tcW w:w="2440" w:type="dxa"/>
            <w:tcBorders>
              <w:top w:val="nil"/>
              <w:left w:val="single" w:sz="4" w:space="0" w:color="auto"/>
              <w:bottom w:val="nil"/>
              <w:right w:val="single" w:sz="4" w:space="0" w:color="auto"/>
            </w:tcBorders>
            <w:shd w:val="clear" w:color="auto" w:fill="auto"/>
            <w:noWrap/>
            <w:vAlign w:val="bottom"/>
            <w:hideMark/>
          </w:tcPr>
          <w:p w:rsidR="00E2528D" w:rsidRPr="00E2528D" w:rsidRDefault="00E2528D" w:rsidP="00E2528D">
            <w:pPr>
              <w:spacing w:after="0" w:line="240" w:lineRule="auto"/>
              <w:rPr>
                <w:rFonts w:ascii="Calibri" w:eastAsia="Times New Roman" w:hAnsi="Calibri" w:cs="Calibri"/>
                <w:color w:val="000000"/>
                <w:sz w:val="24"/>
                <w:szCs w:val="24"/>
                <w:lang w:eastAsia="cs-CZ"/>
              </w:rPr>
            </w:pPr>
            <w:r w:rsidRPr="00E2528D">
              <w:rPr>
                <w:rFonts w:ascii="Calibri" w:eastAsia="Times New Roman" w:hAnsi="Calibri" w:cs="Calibri"/>
                <w:color w:val="000000"/>
                <w:sz w:val="24"/>
                <w:szCs w:val="24"/>
                <w:lang w:eastAsia="cs-CZ"/>
              </w:rPr>
              <w:t>Financování</w:t>
            </w:r>
          </w:p>
        </w:tc>
        <w:tc>
          <w:tcPr>
            <w:tcW w:w="4120" w:type="dxa"/>
            <w:tcBorders>
              <w:top w:val="nil"/>
              <w:left w:val="nil"/>
              <w:bottom w:val="single" w:sz="4" w:space="0" w:color="auto"/>
              <w:right w:val="nil"/>
            </w:tcBorders>
            <w:shd w:val="clear" w:color="auto" w:fill="auto"/>
            <w:noWrap/>
            <w:vAlign w:val="bottom"/>
            <w:hideMark/>
          </w:tcPr>
          <w:p w:rsidR="00E2528D" w:rsidRPr="00E2528D" w:rsidRDefault="00E2528D" w:rsidP="00E2528D">
            <w:pPr>
              <w:spacing w:after="0" w:line="240" w:lineRule="auto"/>
              <w:rPr>
                <w:rFonts w:ascii="Calibri" w:eastAsia="Times New Roman" w:hAnsi="Calibri" w:cs="Calibri"/>
                <w:color w:val="000000"/>
                <w:sz w:val="24"/>
                <w:szCs w:val="24"/>
                <w:lang w:eastAsia="cs-CZ"/>
              </w:rPr>
            </w:pPr>
            <w:r w:rsidRPr="00E2528D">
              <w:rPr>
                <w:rFonts w:ascii="Calibri" w:eastAsia="Times New Roman" w:hAnsi="Calibri" w:cs="Calibri"/>
                <w:color w:val="000000"/>
                <w:sz w:val="24"/>
                <w:szCs w:val="24"/>
                <w:lang w:eastAsia="cs-CZ"/>
              </w:rPr>
              <w:t> </w:t>
            </w:r>
          </w:p>
        </w:tc>
        <w:tc>
          <w:tcPr>
            <w:tcW w:w="1420" w:type="dxa"/>
            <w:tcBorders>
              <w:top w:val="nil"/>
              <w:left w:val="nil"/>
              <w:bottom w:val="single" w:sz="4" w:space="0" w:color="auto"/>
              <w:right w:val="nil"/>
            </w:tcBorders>
            <w:shd w:val="clear" w:color="auto" w:fill="auto"/>
            <w:noWrap/>
            <w:vAlign w:val="bottom"/>
            <w:hideMark/>
          </w:tcPr>
          <w:p w:rsidR="00E2528D" w:rsidRPr="00E2528D" w:rsidRDefault="00E2528D" w:rsidP="00E2528D">
            <w:pPr>
              <w:spacing w:after="0" w:line="240" w:lineRule="auto"/>
              <w:rPr>
                <w:rFonts w:ascii="Calibri" w:eastAsia="Times New Roman" w:hAnsi="Calibri" w:cs="Calibri"/>
                <w:color w:val="000000"/>
                <w:sz w:val="24"/>
                <w:szCs w:val="24"/>
                <w:lang w:eastAsia="cs-CZ"/>
              </w:rPr>
            </w:pPr>
            <w:r w:rsidRPr="00E2528D">
              <w:rPr>
                <w:rFonts w:ascii="Calibri" w:eastAsia="Times New Roman" w:hAnsi="Calibri" w:cs="Calibri"/>
                <w:color w:val="000000"/>
                <w:sz w:val="24"/>
                <w:szCs w:val="24"/>
                <w:lang w:eastAsia="cs-CZ"/>
              </w:rPr>
              <w:t> </w:t>
            </w:r>
          </w:p>
        </w:tc>
        <w:tc>
          <w:tcPr>
            <w:tcW w:w="1320" w:type="dxa"/>
            <w:tcBorders>
              <w:top w:val="nil"/>
              <w:left w:val="nil"/>
              <w:bottom w:val="single" w:sz="4" w:space="0" w:color="auto"/>
              <w:right w:val="single" w:sz="4" w:space="0" w:color="auto"/>
            </w:tcBorders>
            <w:shd w:val="clear" w:color="auto" w:fill="auto"/>
            <w:noWrap/>
            <w:vAlign w:val="bottom"/>
            <w:hideMark/>
          </w:tcPr>
          <w:p w:rsidR="00E2528D" w:rsidRPr="00E2528D" w:rsidRDefault="00E2528D" w:rsidP="00E2528D">
            <w:pPr>
              <w:spacing w:after="0" w:line="240" w:lineRule="auto"/>
              <w:rPr>
                <w:rFonts w:ascii="Calibri" w:eastAsia="Times New Roman" w:hAnsi="Calibri" w:cs="Calibri"/>
                <w:color w:val="000000"/>
                <w:sz w:val="24"/>
                <w:szCs w:val="24"/>
                <w:lang w:eastAsia="cs-CZ"/>
              </w:rPr>
            </w:pPr>
            <w:r w:rsidRPr="00E2528D">
              <w:rPr>
                <w:rFonts w:ascii="Calibri" w:eastAsia="Times New Roman" w:hAnsi="Calibri" w:cs="Calibri"/>
                <w:color w:val="000000"/>
                <w:sz w:val="24"/>
                <w:szCs w:val="24"/>
                <w:lang w:eastAsia="cs-CZ"/>
              </w:rPr>
              <w:t> </w:t>
            </w:r>
          </w:p>
        </w:tc>
      </w:tr>
      <w:tr w:rsidR="00E2528D" w:rsidRPr="00E2528D" w:rsidTr="00E2528D">
        <w:trPr>
          <w:trHeight w:val="315"/>
        </w:trPr>
        <w:tc>
          <w:tcPr>
            <w:tcW w:w="2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28D" w:rsidRPr="00E2528D" w:rsidRDefault="00E2528D" w:rsidP="00E2528D">
            <w:pPr>
              <w:spacing w:after="0" w:line="240" w:lineRule="auto"/>
              <w:rPr>
                <w:rFonts w:ascii="Calibri" w:eastAsia="Times New Roman" w:hAnsi="Calibri" w:cs="Calibri"/>
                <w:color w:val="000000"/>
                <w:sz w:val="24"/>
                <w:szCs w:val="24"/>
                <w:lang w:eastAsia="cs-CZ"/>
              </w:rPr>
            </w:pPr>
            <w:r w:rsidRPr="00E2528D">
              <w:rPr>
                <w:rFonts w:ascii="Calibri" w:eastAsia="Times New Roman" w:hAnsi="Calibri" w:cs="Calibri"/>
                <w:color w:val="000000"/>
                <w:sz w:val="24"/>
                <w:szCs w:val="24"/>
                <w:lang w:eastAsia="cs-CZ"/>
              </w:rPr>
              <w:t>8115</w:t>
            </w:r>
          </w:p>
        </w:tc>
        <w:tc>
          <w:tcPr>
            <w:tcW w:w="4120" w:type="dxa"/>
            <w:tcBorders>
              <w:top w:val="nil"/>
              <w:left w:val="nil"/>
              <w:bottom w:val="single" w:sz="4" w:space="0" w:color="auto"/>
              <w:right w:val="single" w:sz="4" w:space="0" w:color="auto"/>
            </w:tcBorders>
            <w:shd w:val="clear" w:color="auto" w:fill="auto"/>
            <w:noWrap/>
            <w:vAlign w:val="bottom"/>
            <w:hideMark/>
          </w:tcPr>
          <w:p w:rsidR="00E2528D" w:rsidRPr="00E2528D" w:rsidRDefault="00E2528D" w:rsidP="00E2528D">
            <w:pPr>
              <w:spacing w:after="0" w:line="240" w:lineRule="auto"/>
              <w:rPr>
                <w:rFonts w:ascii="Calibri" w:eastAsia="Times New Roman" w:hAnsi="Calibri" w:cs="Calibri"/>
                <w:color w:val="000000"/>
                <w:sz w:val="24"/>
                <w:szCs w:val="24"/>
                <w:lang w:eastAsia="cs-CZ"/>
              </w:rPr>
            </w:pPr>
            <w:r w:rsidRPr="00E2528D">
              <w:rPr>
                <w:rFonts w:ascii="Calibri" w:eastAsia="Times New Roman" w:hAnsi="Calibri" w:cs="Calibri"/>
                <w:color w:val="000000"/>
                <w:sz w:val="24"/>
                <w:szCs w:val="24"/>
                <w:lang w:eastAsia="cs-CZ"/>
              </w:rPr>
              <w:t>Zůstatek na účtech</w:t>
            </w:r>
          </w:p>
        </w:tc>
        <w:tc>
          <w:tcPr>
            <w:tcW w:w="1420" w:type="dxa"/>
            <w:tcBorders>
              <w:top w:val="nil"/>
              <w:left w:val="nil"/>
              <w:bottom w:val="single" w:sz="4" w:space="0" w:color="auto"/>
              <w:right w:val="single" w:sz="4" w:space="0" w:color="auto"/>
            </w:tcBorders>
            <w:shd w:val="clear" w:color="auto" w:fill="auto"/>
            <w:noWrap/>
            <w:vAlign w:val="bottom"/>
            <w:hideMark/>
          </w:tcPr>
          <w:p w:rsidR="00E2528D" w:rsidRPr="00E2528D" w:rsidRDefault="00E2528D" w:rsidP="00E2528D">
            <w:pPr>
              <w:spacing w:after="0" w:line="240" w:lineRule="auto"/>
              <w:jc w:val="right"/>
              <w:rPr>
                <w:rFonts w:ascii="Calibri" w:eastAsia="Times New Roman" w:hAnsi="Calibri" w:cs="Calibri"/>
                <w:color w:val="000000"/>
                <w:sz w:val="24"/>
                <w:szCs w:val="24"/>
                <w:lang w:eastAsia="cs-CZ"/>
              </w:rPr>
            </w:pPr>
            <w:r w:rsidRPr="00E2528D">
              <w:rPr>
                <w:rFonts w:ascii="Calibri" w:eastAsia="Times New Roman" w:hAnsi="Calibri" w:cs="Calibri"/>
                <w:color w:val="000000"/>
                <w:sz w:val="24"/>
                <w:szCs w:val="24"/>
                <w:lang w:eastAsia="cs-CZ"/>
              </w:rPr>
              <w:t>8200</w:t>
            </w:r>
          </w:p>
        </w:tc>
        <w:tc>
          <w:tcPr>
            <w:tcW w:w="1320" w:type="dxa"/>
            <w:tcBorders>
              <w:top w:val="nil"/>
              <w:left w:val="nil"/>
              <w:bottom w:val="single" w:sz="4" w:space="0" w:color="auto"/>
              <w:right w:val="single" w:sz="4" w:space="0" w:color="auto"/>
            </w:tcBorders>
            <w:shd w:val="clear" w:color="auto" w:fill="auto"/>
            <w:noWrap/>
            <w:vAlign w:val="bottom"/>
            <w:hideMark/>
          </w:tcPr>
          <w:p w:rsidR="00E2528D" w:rsidRPr="00E2528D" w:rsidRDefault="00E2528D" w:rsidP="00E2528D">
            <w:pPr>
              <w:spacing w:after="0" w:line="240" w:lineRule="auto"/>
              <w:jc w:val="right"/>
              <w:rPr>
                <w:rFonts w:ascii="Calibri" w:eastAsia="Times New Roman" w:hAnsi="Calibri" w:cs="Calibri"/>
                <w:color w:val="000000"/>
                <w:sz w:val="24"/>
                <w:szCs w:val="24"/>
                <w:lang w:eastAsia="cs-CZ"/>
              </w:rPr>
            </w:pPr>
            <w:r w:rsidRPr="00E2528D">
              <w:rPr>
                <w:rFonts w:ascii="Calibri" w:eastAsia="Times New Roman" w:hAnsi="Calibri" w:cs="Calibri"/>
                <w:color w:val="000000"/>
                <w:sz w:val="24"/>
                <w:szCs w:val="24"/>
                <w:lang w:eastAsia="cs-CZ"/>
              </w:rPr>
              <w:t>7200</w:t>
            </w:r>
          </w:p>
        </w:tc>
      </w:tr>
      <w:tr w:rsidR="00E2528D" w:rsidRPr="00E2528D" w:rsidTr="00E2528D">
        <w:trPr>
          <w:trHeight w:val="315"/>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E2528D" w:rsidRPr="00E2528D" w:rsidRDefault="00E2528D" w:rsidP="00E2528D">
            <w:pPr>
              <w:spacing w:after="0" w:line="240" w:lineRule="auto"/>
              <w:rPr>
                <w:rFonts w:ascii="Calibri" w:eastAsia="Times New Roman" w:hAnsi="Calibri" w:cs="Calibri"/>
                <w:color w:val="000000"/>
                <w:sz w:val="24"/>
                <w:szCs w:val="24"/>
                <w:lang w:eastAsia="cs-CZ"/>
              </w:rPr>
            </w:pPr>
            <w:r w:rsidRPr="00E2528D">
              <w:rPr>
                <w:rFonts w:ascii="Calibri" w:eastAsia="Times New Roman" w:hAnsi="Calibri" w:cs="Calibri"/>
                <w:color w:val="000000"/>
                <w:sz w:val="24"/>
                <w:szCs w:val="24"/>
                <w:lang w:eastAsia="cs-CZ"/>
              </w:rPr>
              <w:t>8115</w:t>
            </w:r>
          </w:p>
        </w:tc>
        <w:tc>
          <w:tcPr>
            <w:tcW w:w="4120" w:type="dxa"/>
            <w:tcBorders>
              <w:top w:val="nil"/>
              <w:left w:val="nil"/>
              <w:bottom w:val="single" w:sz="4" w:space="0" w:color="auto"/>
              <w:right w:val="single" w:sz="4" w:space="0" w:color="auto"/>
            </w:tcBorders>
            <w:shd w:val="clear" w:color="auto" w:fill="auto"/>
            <w:noWrap/>
            <w:vAlign w:val="bottom"/>
            <w:hideMark/>
          </w:tcPr>
          <w:p w:rsidR="00E2528D" w:rsidRPr="00E2528D" w:rsidRDefault="00E2528D" w:rsidP="00E2528D">
            <w:pPr>
              <w:spacing w:after="0" w:line="240" w:lineRule="auto"/>
              <w:rPr>
                <w:rFonts w:ascii="Calibri" w:eastAsia="Times New Roman" w:hAnsi="Calibri" w:cs="Calibri"/>
                <w:color w:val="000000"/>
                <w:sz w:val="24"/>
                <w:szCs w:val="24"/>
                <w:lang w:eastAsia="cs-CZ"/>
              </w:rPr>
            </w:pPr>
            <w:r w:rsidRPr="00E2528D">
              <w:rPr>
                <w:rFonts w:ascii="Calibri" w:eastAsia="Times New Roman" w:hAnsi="Calibri" w:cs="Calibri"/>
                <w:color w:val="000000"/>
                <w:sz w:val="24"/>
                <w:szCs w:val="24"/>
                <w:lang w:eastAsia="cs-CZ"/>
              </w:rPr>
              <w:t>Fondy</w:t>
            </w:r>
          </w:p>
        </w:tc>
        <w:tc>
          <w:tcPr>
            <w:tcW w:w="1420" w:type="dxa"/>
            <w:tcBorders>
              <w:top w:val="nil"/>
              <w:left w:val="nil"/>
              <w:bottom w:val="single" w:sz="4" w:space="0" w:color="auto"/>
              <w:right w:val="single" w:sz="4" w:space="0" w:color="auto"/>
            </w:tcBorders>
            <w:shd w:val="clear" w:color="auto" w:fill="auto"/>
            <w:noWrap/>
            <w:vAlign w:val="bottom"/>
            <w:hideMark/>
          </w:tcPr>
          <w:p w:rsidR="00E2528D" w:rsidRPr="00E2528D" w:rsidRDefault="00E2528D" w:rsidP="00E2528D">
            <w:pPr>
              <w:spacing w:after="0" w:line="240" w:lineRule="auto"/>
              <w:jc w:val="right"/>
              <w:rPr>
                <w:rFonts w:ascii="Calibri" w:eastAsia="Times New Roman" w:hAnsi="Calibri" w:cs="Calibri"/>
                <w:color w:val="000000"/>
                <w:sz w:val="24"/>
                <w:szCs w:val="24"/>
                <w:lang w:eastAsia="cs-CZ"/>
              </w:rPr>
            </w:pPr>
            <w:r w:rsidRPr="00E2528D">
              <w:rPr>
                <w:rFonts w:ascii="Calibri" w:eastAsia="Times New Roman" w:hAnsi="Calibri" w:cs="Calibri"/>
                <w:color w:val="000000"/>
                <w:sz w:val="24"/>
                <w:szCs w:val="24"/>
                <w:lang w:eastAsia="cs-CZ"/>
              </w:rPr>
              <w:t>1800</w:t>
            </w:r>
          </w:p>
        </w:tc>
        <w:tc>
          <w:tcPr>
            <w:tcW w:w="1320" w:type="dxa"/>
            <w:tcBorders>
              <w:top w:val="nil"/>
              <w:left w:val="nil"/>
              <w:bottom w:val="single" w:sz="4" w:space="0" w:color="auto"/>
              <w:right w:val="single" w:sz="4" w:space="0" w:color="auto"/>
            </w:tcBorders>
            <w:shd w:val="clear" w:color="auto" w:fill="auto"/>
            <w:noWrap/>
            <w:vAlign w:val="bottom"/>
            <w:hideMark/>
          </w:tcPr>
          <w:p w:rsidR="00E2528D" w:rsidRPr="00E2528D" w:rsidRDefault="00E2528D" w:rsidP="00E2528D">
            <w:pPr>
              <w:spacing w:after="0" w:line="240" w:lineRule="auto"/>
              <w:jc w:val="right"/>
              <w:rPr>
                <w:rFonts w:ascii="Calibri" w:eastAsia="Times New Roman" w:hAnsi="Calibri" w:cs="Calibri"/>
                <w:color w:val="000000"/>
                <w:sz w:val="24"/>
                <w:szCs w:val="24"/>
                <w:lang w:eastAsia="cs-CZ"/>
              </w:rPr>
            </w:pPr>
            <w:r w:rsidRPr="00E2528D">
              <w:rPr>
                <w:rFonts w:ascii="Calibri" w:eastAsia="Times New Roman" w:hAnsi="Calibri" w:cs="Calibri"/>
                <w:color w:val="000000"/>
                <w:sz w:val="24"/>
                <w:szCs w:val="24"/>
                <w:lang w:eastAsia="cs-CZ"/>
              </w:rPr>
              <w:t>1800</w:t>
            </w:r>
          </w:p>
        </w:tc>
      </w:tr>
      <w:tr w:rsidR="00E2528D" w:rsidRPr="00E2528D" w:rsidTr="00E2528D">
        <w:trPr>
          <w:trHeight w:val="330"/>
        </w:trPr>
        <w:tc>
          <w:tcPr>
            <w:tcW w:w="2440" w:type="dxa"/>
            <w:tcBorders>
              <w:top w:val="nil"/>
              <w:left w:val="single" w:sz="4" w:space="0" w:color="auto"/>
              <w:bottom w:val="nil"/>
              <w:right w:val="single" w:sz="4" w:space="0" w:color="auto"/>
            </w:tcBorders>
            <w:shd w:val="clear" w:color="auto" w:fill="auto"/>
            <w:noWrap/>
            <w:vAlign w:val="bottom"/>
            <w:hideMark/>
          </w:tcPr>
          <w:p w:rsidR="00E2528D" w:rsidRPr="00E2528D" w:rsidRDefault="00E2528D" w:rsidP="00E2528D">
            <w:pPr>
              <w:spacing w:after="0" w:line="240" w:lineRule="auto"/>
              <w:rPr>
                <w:rFonts w:ascii="Calibri" w:eastAsia="Times New Roman" w:hAnsi="Calibri" w:cs="Calibri"/>
                <w:color w:val="000000"/>
                <w:sz w:val="24"/>
                <w:szCs w:val="24"/>
                <w:lang w:eastAsia="cs-CZ"/>
              </w:rPr>
            </w:pPr>
            <w:r w:rsidRPr="00E2528D">
              <w:rPr>
                <w:rFonts w:ascii="Calibri" w:eastAsia="Times New Roman" w:hAnsi="Calibri" w:cs="Calibri"/>
                <w:color w:val="000000"/>
                <w:sz w:val="24"/>
                <w:szCs w:val="24"/>
                <w:lang w:eastAsia="cs-CZ"/>
              </w:rPr>
              <w:t>8124</w:t>
            </w:r>
          </w:p>
        </w:tc>
        <w:tc>
          <w:tcPr>
            <w:tcW w:w="4120" w:type="dxa"/>
            <w:tcBorders>
              <w:top w:val="nil"/>
              <w:left w:val="nil"/>
              <w:bottom w:val="nil"/>
              <w:right w:val="single" w:sz="4" w:space="0" w:color="auto"/>
            </w:tcBorders>
            <w:shd w:val="clear" w:color="auto" w:fill="auto"/>
            <w:noWrap/>
            <w:vAlign w:val="bottom"/>
            <w:hideMark/>
          </w:tcPr>
          <w:p w:rsidR="00E2528D" w:rsidRPr="00E2528D" w:rsidRDefault="00E2528D" w:rsidP="00E2528D">
            <w:pPr>
              <w:spacing w:after="0" w:line="240" w:lineRule="auto"/>
              <w:rPr>
                <w:rFonts w:ascii="Calibri" w:eastAsia="Times New Roman" w:hAnsi="Calibri" w:cs="Calibri"/>
                <w:color w:val="000000"/>
                <w:sz w:val="24"/>
                <w:szCs w:val="24"/>
                <w:lang w:eastAsia="cs-CZ"/>
              </w:rPr>
            </w:pPr>
            <w:r w:rsidRPr="00E2528D">
              <w:rPr>
                <w:rFonts w:ascii="Calibri" w:eastAsia="Times New Roman" w:hAnsi="Calibri" w:cs="Calibri"/>
                <w:color w:val="000000"/>
                <w:sz w:val="24"/>
                <w:szCs w:val="24"/>
                <w:lang w:eastAsia="cs-CZ"/>
              </w:rPr>
              <w:t>Uhrazené splátky dlouhodobých závazků</w:t>
            </w:r>
          </w:p>
        </w:tc>
        <w:tc>
          <w:tcPr>
            <w:tcW w:w="1420" w:type="dxa"/>
            <w:tcBorders>
              <w:top w:val="nil"/>
              <w:left w:val="nil"/>
              <w:bottom w:val="nil"/>
              <w:right w:val="single" w:sz="4" w:space="0" w:color="auto"/>
            </w:tcBorders>
            <w:shd w:val="clear" w:color="auto" w:fill="auto"/>
            <w:noWrap/>
            <w:vAlign w:val="bottom"/>
            <w:hideMark/>
          </w:tcPr>
          <w:p w:rsidR="00E2528D" w:rsidRPr="00E2528D" w:rsidRDefault="00E2528D" w:rsidP="00E2528D">
            <w:pPr>
              <w:spacing w:after="0" w:line="240" w:lineRule="auto"/>
              <w:jc w:val="right"/>
              <w:rPr>
                <w:rFonts w:ascii="Calibri" w:eastAsia="Times New Roman" w:hAnsi="Calibri" w:cs="Calibri"/>
                <w:color w:val="000000"/>
                <w:sz w:val="24"/>
                <w:szCs w:val="24"/>
                <w:lang w:eastAsia="cs-CZ"/>
              </w:rPr>
            </w:pPr>
            <w:r w:rsidRPr="00E2528D">
              <w:rPr>
                <w:rFonts w:ascii="Calibri" w:eastAsia="Times New Roman" w:hAnsi="Calibri" w:cs="Calibri"/>
                <w:color w:val="000000"/>
                <w:sz w:val="24"/>
                <w:szCs w:val="24"/>
                <w:lang w:eastAsia="cs-CZ"/>
              </w:rPr>
              <w:t>-4700</w:t>
            </w:r>
          </w:p>
        </w:tc>
        <w:tc>
          <w:tcPr>
            <w:tcW w:w="1320" w:type="dxa"/>
            <w:tcBorders>
              <w:top w:val="nil"/>
              <w:left w:val="nil"/>
              <w:bottom w:val="nil"/>
              <w:right w:val="single" w:sz="4" w:space="0" w:color="auto"/>
            </w:tcBorders>
            <w:shd w:val="clear" w:color="auto" w:fill="auto"/>
            <w:noWrap/>
            <w:vAlign w:val="bottom"/>
            <w:hideMark/>
          </w:tcPr>
          <w:p w:rsidR="00E2528D" w:rsidRPr="00E2528D" w:rsidRDefault="00E2528D" w:rsidP="00E2528D">
            <w:pPr>
              <w:spacing w:after="0" w:line="240" w:lineRule="auto"/>
              <w:jc w:val="right"/>
              <w:rPr>
                <w:rFonts w:ascii="Calibri" w:eastAsia="Times New Roman" w:hAnsi="Calibri" w:cs="Calibri"/>
                <w:color w:val="000000"/>
                <w:sz w:val="24"/>
                <w:szCs w:val="24"/>
                <w:lang w:eastAsia="cs-CZ"/>
              </w:rPr>
            </w:pPr>
            <w:r w:rsidRPr="00E2528D">
              <w:rPr>
                <w:rFonts w:ascii="Calibri" w:eastAsia="Times New Roman" w:hAnsi="Calibri" w:cs="Calibri"/>
                <w:color w:val="000000"/>
                <w:sz w:val="24"/>
                <w:szCs w:val="24"/>
                <w:lang w:eastAsia="cs-CZ"/>
              </w:rPr>
              <w:t>-4200</w:t>
            </w:r>
          </w:p>
        </w:tc>
      </w:tr>
      <w:tr w:rsidR="00E2528D" w:rsidRPr="00E2528D" w:rsidTr="00E2528D">
        <w:trPr>
          <w:trHeight w:val="330"/>
        </w:trPr>
        <w:tc>
          <w:tcPr>
            <w:tcW w:w="2440" w:type="dxa"/>
            <w:tcBorders>
              <w:top w:val="single" w:sz="8" w:space="0" w:color="auto"/>
              <w:left w:val="single" w:sz="8" w:space="0" w:color="auto"/>
              <w:bottom w:val="single" w:sz="8" w:space="0" w:color="auto"/>
              <w:right w:val="single" w:sz="8" w:space="0" w:color="auto"/>
            </w:tcBorders>
            <w:shd w:val="clear" w:color="000000" w:fill="FFFF00"/>
            <w:noWrap/>
            <w:vAlign w:val="bottom"/>
            <w:hideMark/>
          </w:tcPr>
          <w:p w:rsidR="00E2528D" w:rsidRPr="00E2528D" w:rsidRDefault="00E2528D" w:rsidP="00E2528D">
            <w:pPr>
              <w:spacing w:after="0" w:line="240" w:lineRule="auto"/>
              <w:rPr>
                <w:rFonts w:ascii="Calibri" w:eastAsia="Times New Roman" w:hAnsi="Calibri" w:cs="Calibri"/>
                <w:b/>
                <w:bCs/>
                <w:color w:val="000000"/>
                <w:sz w:val="24"/>
                <w:szCs w:val="24"/>
                <w:lang w:eastAsia="cs-CZ"/>
              </w:rPr>
            </w:pPr>
            <w:r w:rsidRPr="00E2528D">
              <w:rPr>
                <w:rFonts w:ascii="Calibri" w:eastAsia="Times New Roman" w:hAnsi="Calibri" w:cs="Calibri"/>
                <w:b/>
                <w:bCs/>
                <w:color w:val="000000"/>
                <w:sz w:val="24"/>
                <w:szCs w:val="24"/>
                <w:lang w:eastAsia="cs-CZ"/>
              </w:rPr>
              <w:t>FINANCOVÁNÍ CELKEM</w:t>
            </w:r>
          </w:p>
        </w:tc>
        <w:tc>
          <w:tcPr>
            <w:tcW w:w="4120" w:type="dxa"/>
            <w:tcBorders>
              <w:top w:val="single" w:sz="8" w:space="0" w:color="auto"/>
              <w:left w:val="nil"/>
              <w:bottom w:val="single" w:sz="8" w:space="0" w:color="auto"/>
              <w:right w:val="single" w:sz="8" w:space="0" w:color="auto"/>
            </w:tcBorders>
            <w:shd w:val="clear" w:color="000000" w:fill="FFFF00"/>
            <w:noWrap/>
            <w:vAlign w:val="bottom"/>
            <w:hideMark/>
          </w:tcPr>
          <w:p w:rsidR="00E2528D" w:rsidRPr="00E2528D" w:rsidRDefault="00E2528D" w:rsidP="00E2528D">
            <w:pPr>
              <w:spacing w:after="0" w:line="240" w:lineRule="auto"/>
              <w:rPr>
                <w:rFonts w:ascii="Calibri" w:eastAsia="Times New Roman" w:hAnsi="Calibri" w:cs="Calibri"/>
                <w:b/>
                <w:bCs/>
                <w:color w:val="000000"/>
                <w:sz w:val="24"/>
                <w:szCs w:val="24"/>
                <w:lang w:eastAsia="cs-CZ"/>
              </w:rPr>
            </w:pPr>
            <w:r w:rsidRPr="00E2528D">
              <w:rPr>
                <w:rFonts w:ascii="Calibri" w:eastAsia="Times New Roman" w:hAnsi="Calibri" w:cs="Calibri"/>
                <w:b/>
                <w:bCs/>
                <w:color w:val="000000"/>
                <w:sz w:val="24"/>
                <w:szCs w:val="24"/>
                <w:lang w:eastAsia="cs-CZ"/>
              </w:rPr>
              <w:t> </w:t>
            </w:r>
          </w:p>
        </w:tc>
        <w:tc>
          <w:tcPr>
            <w:tcW w:w="1420" w:type="dxa"/>
            <w:tcBorders>
              <w:top w:val="single" w:sz="8" w:space="0" w:color="auto"/>
              <w:left w:val="nil"/>
              <w:bottom w:val="single" w:sz="8" w:space="0" w:color="auto"/>
              <w:right w:val="single" w:sz="8" w:space="0" w:color="auto"/>
            </w:tcBorders>
            <w:shd w:val="clear" w:color="000000" w:fill="FFFF00"/>
            <w:noWrap/>
            <w:vAlign w:val="bottom"/>
            <w:hideMark/>
          </w:tcPr>
          <w:p w:rsidR="00E2528D" w:rsidRPr="00E2528D" w:rsidRDefault="00E2528D" w:rsidP="00E2528D">
            <w:pPr>
              <w:spacing w:after="0" w:line="240" w:lineRule="auto"/>
              <w:jc w:val="right"/>
              <w:rPr>
                <w:rFonts w:ascii="Calibri" w:eastAsia="Times New Roman" w:hAnsi="Calibri" w:cs="Calibri"/>
                <w:b/>
                <w:bCs/>
                <w:color w:val="000000"/>
                <w:sz w:val="24"/>
                <w:szCs w:val="24"/>
                <w:lang w:eastAsia="cs-CZ"/>
              </w:rPr>
            </w:pPr>
            <w:r w:rsidRPr="00E2528D">
              <w:rPr>
                <w:rFonts w:ascii="Calibri" w:eastAsia="Times New Roman" w:hAnsi="Calibri" w:cs="Calibri"/>
                <w:b/>
                <w:bCs/>
                <w:color w:val="000000"/>
                <w:sz w:val="24"/>
                <w:szCs w:val="24"/>
                <w:lang w:eastAsia="cs-CZ"/>
              </w:rPr>
              <w:t>5300</w:t>
            </w:r>
          </w:p>
        </w:tc>
        <w:tc>
          <w:tcPr>
            <w:tcW w:w="1320" w:type="dxa"/>
            <w:tcBorders>
              <w:top w:val="single" w:sz="8" w:space="0" w:color="auto"/>
              <w:left w:val="nil"/>
              <w:bottom w:val="single" w:sz="8" w:space="0" w:color="auto"/>
              <w:right w:val="single" w:sz="8" w:space="0" w:color="auto"/>
            </w:tcBorders>
            <w:shd w:val="clear" w:color="000000" w:fill="FFFF00"/>
            <w:noWrap/>
            <w:vAlign w:val="bottom"/>
            <w:hideMark/>
          </w:tcPr>
          <w:p w:rsidR="00E2528D" w:rsidRPr="00E2528D" w:rsidRDefault="00E2528D" w:rsidP="00E2528D">
            <w:pPr>
              <w:spacing w:after="0" w:line="240" w:lineRule="auto"/>
              <w:jc w:val="right"/>
              <w:rPr>
                <w:rFonts w:ascii="Calibri" w:eastAsia="Times New Roman" w:hAnsi="Calibri" w:cs="Calibri"/>
                <w:b/>
                <w:bCs/>
                <w:color w:val="000000"/>
                <w:sz w:val="24"/>
                <w:szCs w:val="24"/>
                <w:lang w:eastAsia="cs-CZ"/>
              </w:rPr>
            </w:pPr>
            <w:r w:rsidRPr="00E2528D">
              <w:rPr>
                <w:rFonts w:ascii="Calibri" w:eastAsia="Times New Roman" w:hAnsi="Calibri" w:cs="Calibri"/>
                <w:b/>
                <w:bCs/>
                <w:color w:val="000000"/>
                <w:sz w:val="24"/>
                <w:szCs w:val="24"/>
                <w:lang w:eastAsia="cs-CZ"/>
              </w:rPr>
              <w:t>4800</w:t>
            </w:r>
          </w:p>
        </w:tc>
      </w:tr>
      <w:tr w:rsidR="00E2528D" w:rsidRPr="00E2528D" w:rsidTr="00E2528D">
        <w:trPr>
          <w:trHeight w:val="315"/>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E2528D" w:rsidRPr="00E2528D" w:rsidRDefault="00E2528D" w:rsidP="00E2528D">
            <w:pPr>
              <w:spacing w:after="0" w:line="240" w:lineRule="auto"/>
              <w:rPr>
                <w:rFonts w:ascii="Calibri" w:eastAsia="Times New Roman" w:hAnsi="Calibri" w:cs="Calibri"/>
                <w:color w:val="000000"/>
                <w:sz w:val="24"/>
                <w:szCs w:val="24"/>
                <w:lang w:eastAsia="cs-CZ"/>
              </w:rPr>
            </w:pPr>
            <w:r w:rsidRPr="00E2528D">
              <w:rPr>
                <w:rFonts w:ascii="Calibri" w:eastAsia="Times New Roman" w:hAnsi="Calibri" w:cs="Calibri"/>
                <w:color w:val="000000"/>
                <w:sz w:val="24"/>
                <w:szCs w:val="24"/>
                <w:lang w:eastAsia="cs-CZ"/>
              </w:rPr>
              <w:t> </w:t>
            </w:r>
          </w:p>
        </w:tc>
        <w:tc>
          <w:tcPr>
            <w:tcW w:w="4120" w:type="dxa"/>
            <w:tcBorders>
              <w:top w:val="nil"/>
              <w:left w:val="nil"/>
              <w:bottom w:val="single" w:sz="4" w:space="0" w:color="auto"/>
              <w:right w:val="single" w:sz="4" w:space="0" w:color="auto"/>
            </w:tcBorders>
            <w:shd w:val="clear" w:color="auto" w:fill="auto"/>
            <w:noWrap/>
            <w:vAlign w:val="bottom"/>
            <w:hideMark/>
          </w:tcPr>
          <w:p w:rsidR="00E2528D" w:rsidRPr="00E2528D" w:rsidRDefault="00E2528D" w:rsidP="00E2528D">
            <w:pPr>
              <w:spacing w:after="0" w:line="240" w:lineRule="auto"/>
              <w:rPr>
                <w:rFonts w:ascii="Calibri" w:eastAsia="Times New Roman" w:hAnsi="Calibri" w:cs="Calibri"/>
                <w:color w:val="000000"/>
                <w:sz w:val="24"/>
                <w:szCs w:val="24"/>
                <w:lang w:eastAsia="cs-CZ"/>
              </w:rPr>
            </w:pPr>
            <w:r w:rsidRPr="00E2528D">
              <w:rPr>
                <w:rFonts w:ascii="Calibri" w:eastAsia="Times New Roman" w:hAnsi="Calibri" w:cs="Calibri"/>
                <w:color w:val="000000"/>
                <w:sz w:val="24"/>
                <w:szCs w:val="24"/>
                <w:lang w:eastAsia="cs-CZ"/>
              </w:rPr>
              <w:t> </w:t>
            </w:r>
          </w:p>
        </w:tc>
        <w:tc>
          <w:tcPr>
            <w:tcW w:w="1420" w:type="dxa"/>
            <w:tcBorders>
              <w:top w:val="nil"/>
              <w:left w:val="nil"/>
              <w:bottom w:val="single" w:sz="4" w:space="0" w:color="auto"/>
              <w:right w:val="single" w:sz="4" w:space="0" w:color="auto"/>
            </w:tcBorders>
            <w:shd w:val="clear" w:color="auto" w:fill="auto"/>
            <w:noWrap/>
            <w:vAlign w:val="bottom"/>
            <w:hideMark/>
          </w:tcPr>
          <w:p w:rsidR="00E2528D" w:rsidRPr="00E2528D" w:rsidRDefault="00E2528D" w:rsidP="00E2528D">
            <w:pPr>
              <w:spacing w:after="0" w:line="240" w:lineRule="auto"/>
              <w:rPr>
                <w:rFonts w:ascii="Calibri" w:eastAsia="Times New Roman" w:hAnsi="Calibri" w:cs="Calibri"/>
                <w:color w:val="000000"/>
                <w:sz w:val="24"/>
                <w:szCs w:val="24"/>
                <w:lang w:eastAsia="cs-CZ"/>
              </w:rPr>
            </w:pPr>
            <w:r w:rsidRPr="00E2528D">
              <w:rPr>
                <w:rFonts w:ascii="Calibri" w:eastAsia="Times New Roman" w:hAnsi="Calibri" w:cs="Calibri"/>
                <w:color w:val="000000"/>
                <w:sz w:val="24"/>
                <w:szCs w:val="24"/>
                <w:lang w:eastAsia="cs-CZ"/>
              </w:rPr>
              <w:t> </w:t>
            </w:r>
          </w:p>
        </w:tc>
        <w:tc>
          <w:tcPr>
            <w:tcW w:w="1320" w:type="dxa"/>
            <w:tcBorders>
              <w:top w:val="nil"/>
              <w:left w:val="nil"/>
              <w:bottom w:val="single" w:sz="4" w:space="0" w:color="auto"/>
              <w:right w:val="single" w:sz="4" w:space="0" w:color="auto"/>
            </w:tcBorders>
            <w:shd w:val="clear" w:color="auto" w:fill="auto"/>
            <w:noWrap/>
            <w:vAlign w:val="bottom"/>
            <w:hideMark/>
          </w:tcPr>
          <w:p w:rsidR="00E2528D" w:rsidRPr="00E2528D" w:rsidRDefault="00E2528D" w:rsidP="00E2528D">
            <w:pPr>
              <w:spacing w:after="0" w:line="240" w:lineRule="auto"/>
              <w:rPr>
                <w:rFonts w:ascii="Calibri" w:eastAsia="Times New Roman" w:hAnsi="Calibri" w:cs="Calibri"/>
                <w:color w:val="000000"/>
                <w:sz w:val="24"/>
                <w:szCs w:val="24"/>
                <w:lang w:eastAsia="cs-CZ"/>
              </w:rPr>
            </w:pPr>
            <w:r w:rsidRPr="00E2528D">
              <w:rPr>
                <w:rFonts w:ascii="Calibri" w:eastAsia="Times New Roman" w:hAnsi="Calibri" w:cs="Calibri"/>
                <w:color w:val="000000"/>
                <w:sz w:val="24"/>
                <w:szCs w:val="24"/>
                <w:lang w:eastAsia="cs-CZ"/>
              </w:rPr>
              <w:t> </w:t>
            </w:r>
          </w:p>
        </w:tc>
      </w:tr>
      <w:tr w:rsidR="00E2528D" w:rsidRPr="00E2528D" w:rsidTr="00E2528D">
        <w:trPr>
          <w:trHeight w:val="315"/>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E2528D" w:rsidRPr="00E2528D" w:rsidRDefault="00E2528D" w:rsidP="00E2528D">
            <w:pPr>
              <w:spacing w:after="0" w:line="240" w:lineRule="auto"/>
              <w:rPr>
                <w:rFonts w:ascii="Calibri" w:eastAsia="Times New Roman" w:hAnsi="Calibri" w:cs="Calibri"/>
                <w:color w:val="000000"/>
                <w:sz w:val="24"/>
                <w:szCs w:val="24"/>
                <w:lang w:eastAsia="cs-CZ"/>
              </w:rPr>
            </w:pPr>
            <w:r w:rsidRPr="00E2528D">
              <w:rPr>
                <w:rFonts w:ascii="Calibri" w:eastAsia="Times New Roman" w:hAnsi="Calibri" w:cs="Calibri"/>
                <w:color w:val="000000"/>
                <w:sz w:val="24"/>
                <w:szCs w:val="24"/>
                <w:lang w:eastAsia="cs-CZ"/>
              </w:rPr>
              <w:t>Rozvaha</w:t>
            </w:r>
          </w:p>
        </w:tc>
        <w:tc>
          <w:tcPr>
            <w:tcW w:w="4120" w:type="dxa"/>
            <w:tcBorders>
              <w:top w:val="nil"/>
              <w:left w:val="nil"/>
              <w:bottom w:val="single" w:sz="4" w:space="0" w:color="auto"/>
              <w:right w:val="single" w:sz="4" w:space="0" w:color="auto"/>
            </w:tcBorders>
            <w:shd w:val="clear" w:color="auto" w:fill="auto"/>
            <w:noWrap/>
            <w:vAlign w:val="bottom"/>
            <w:hideMark/>
          </w:tcPr>
          <w:p w:rsidR="00E2528D" w:rsidRPr="00E2528D" w:rsidRDefault="00E2528D" w:rsidP="00E2528D">
            <w:pPr>
              <w:spacing w:after="0" w:line="240" w:lineRule="auto"/>
              <w:rPr>
                <w:rFonts w:ascii="Calibri" w:eastAsia="Times New Roman" w:hAnsi="Calibri" w:cs="Calibri"/>
                <w:color w:val="000000"/>
                <w:sz w:val="24"/>
                <w:szCs w:val="24"/>
                <w:lang w:eastAsia="cs-CZ"/>
              </w:rPr>
            </w:pPr>
            <w:r w:rsidRPr="00E2528D">
              <w:rPr>
                <w:rFonts w:ascii="Calibri" w:eastAsia="Times New Roman" w:hAnsi="Calibri" w:cs="Calibri"/>
                <w:color w:val="000000"/>
                <w:sz w:val="24"/>
                <w:szCs w:val="24"/>
                <w:lang w:eastAsia="cs-CZ"/>
              </w:rPr>
              <w:t>Dlouhodobé závazky</w:t>
            </w:r>
          </w:p>
        </w:tc>
        <w:tc>
          <w:tcPr>
            <w:tcW w:w="1420" w:type="dxa"/>
            <w:tcBorders>
              <w:top w:val="nil"/>
              <w:left w:val="nil"/>
              <w:bottom w:val="single" w:sz="4" w:space="0" w:color="auto"/>
              <w:right w:val="single" w:sz="4" w:space="0" w:color="auto"/>
            </w:tcBorders>
            <w:shd w:val="clear" w:color="auto" w:fill="auto"/>
            <w:noWrap/>
            <w:vAlign w:val="bottom"/>
            <w:hideMark/>
          </w:tcPr>
          <w:p w:rsidR="00E2528D" w:rsidRPr="00E2528D" w:rsidRDefault="00E2528D" w:rsidP="00E2528D">
            <w:pPr>
              <w:spacing w:after="0" w:line="240" w:lineRule="auto"/>
              <w:jc w:val="right"/>
              <w:rPr>
                <w:rFonts w:ascii="Calibri" w:eastAsia="Times New Roman" w:hAnsi="Calibri" w:cs="Calibri"/>
                <w:color w:val="000000"/>
                <w:sz w:val="24"/>
                <w:szCs w:val="24"/>
                <w:lang w:eastAsia="cs-CZ"/>
              </w:rPr>
            </w:pPr>
            <w:r w:rsidRPr="00E2528D">
              <w:rPr>
                <w:rFonts w:ascii="Calibri" w:eastAsia="Times New Roman" w:hAnsi="Calibri" w:cs="Calibri"/>
                <w:color w:val="000000"/>
                <w:sz w:val="24"/>
                <w:szCs w:val="24"/>
                <w:lang w:eastAsia="cs-CZ"/>
              </w:rPr>
              <w:t>8300</w:t>
            </w:r>
          </w:p>
        </w:tc>
        <w:tc>
          <w:tcPr>
            <w:tcW w:w="1320" w:type="dxa"/>
            <w:tcBorders>
              <w:top w:val="nil"/>
              <w:left w:val="nil"/>
              <w:bottom w:val="single" w:sz="4" w:space="0" w:color="auto"/>
              <w:right w:val="single" w:sz="4" w:space="0" w:color="auto"/>
            </w:tcBorders>
            <w:shd w:val="clear" w:color="auto" w:fill="auto"/>
            <w:noWrap/>
            <w:vAlign w:val="bottom"/>
            <w:hideMark/>
          </w:tcPr>
          <w:p w:rsidR="00E2528D" w:rsidRPr="00E2528D" w:rsidRDefault="00E2528D" w:rsidP="00E2528D">
            <w:pPr>
              <w:spacing w:after="0" w:line="240" w:lineRule="auto"/>
              <w:jc w:val="right"/>
              <w:rPr>
                <w:rFonts w:ascii="Calibri" w:eastAsia="Times New Roman" w:hAnsi="Calibri" w:cs="Calibri"/>
                <w:color w:val="000000"/>
                <w:sz w:val="24"/>
                <w:szCs w:val="24"/>
                <w:lang w:eastAsia="cs-CZ"/>
              </w:rPr>
            </w:pPr>
            <w:r w:rsidRPr="00E2528D">
              <w:rPr>
                <w:rFonts w:ascii="Calibri" w:eastAsia="Times New Roman" w:hAnsi="Calibri" w:cs="Calibri"/>
                <w:color w:val="000000"/>
                <w:sz w:val="24"/>
                <w:szCs w:val="24"/>
                <w:lang w:eastAsia="cs-CZ"/>
              </w:rPr>
              <w:t>4100</w:t>
            </w:r>
          </w:p>
        </w:tc>
      </w:tr>
      <w:tr w:rsidR="00E2528D" w:rsidRPr="00E2528D" w:rsidTr="00E2528D">
        <w:trPr>
          <w:trHeight w:val="315"/>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E2528D" w:rsidRPr="00E2528D" w:rsidRDefault="00E2528D" w:rsidP="00E2528D">
            <w:pPr>
              <w:spacing w:after="0" w:line="240" w:lineRule="auto"/>
              <w:rPr>
                <w:rFonts w:ascii="Calibri" w:eastAsia="Times New Roman" w:hAnsi="Calibri" w:cs="Calibri"/>
                <w:color w:val="000000"/>
                <w:sz w:val="24"/>
                <w:szCs w:val="24"/>
                <w:lang w:eastAsia="cs-CZ"/>
              </w:rPr>
            </w:pPr>
            <w:r w:rsidRPr="00E2528D">
              <w:rPr>
                <w:rFonts w:ascii="Calibri" w:eastAsia="Times New Roman" w:hAnsi="Calibri" w:cs="Calibri"/>
                <w:color w:val="000000"/>
                <w:sz w:val="24"/>
                <w:szCs w:val="24"/>
                <w:lang w:eastAsia="cs-CZ"/>
              </w:rPr>
              <w:t>Rozvaha</w:t>
            </w:r>
          </w:p>
        </w:tc>
        <w:tc>
          <w:tcPr>
            <w:tcW w:w="4120" w:type="dxa"/>
            <w:tcBorders>
              <w:top w:val="nil"/>
              <w:left w:val="nil"/>
              <w:bottom w:val="single" w:sz="4" w:space="0" w:color="auto"/>
              <w:right w:val="single" w:sz="4" w:space="0" w:color="auto"/>
            </w:tcBorders>
            <w:shd w:val="clear" w:color="auto" w:fill="auto"/>
            <w:noWrap/>
            <w:vAlign w:val="bottom"/>
            <w:hideMark/>
          </w:tcPr>
          <w:p w:rsidR="00E2528D" w:rsidRPr="00E2528D" w:rsidRDefault="00E2528D" w:rsidP="00E2528D">
            <w:pPr>
              <w:spacing w:after="0" w:line="240" w:lineRule="auto"/>
              <w:rPr>
                <w:rFonts w:ascii="Calibri" w:eastAsia="Times New Roman" w:hAnsi="Calibri" w:cs="Calibri"/>
                <w:color w:val="000000"/>
                <w:sz w:val="24"/>
                <w:szCs w:val="24"/>
                <w:lang w:eastAsia="cs-CZ"/>
              </w:rPr>
            </w:pPr>
            <w:r w:rsidRPr="00E2528D">
              <w:rPr>
                <w:rFonts w:ascii="Calibri" w:eastAsia="Times New Roman" w:hAnsi="Calibri" w:cs="Calibri"/>
                <w:color w:val="000000"/>
                <w:sz w:val="24"/>
                <w:szCs w:val="24"/>
                <w:lang w:eastAsia="cs-CZ"/>
              </w:rPr>
              <w:t>Dlouhodobé pohledávky</w:t>
            </w:r>
          </w:p>
        </w:tc>
        <w:tc>
          <w:tcPr>
            <w:tcW w:w="1420" w:type="dxa"/>
            <w:tcBorders>
              <w:top w:val="nil"/>
              <w:left w:val="nil"/>
              <w:bottom w:val="single" w:sz="4" w:space="0" w:color="auto"/>
              <w:right w:val="single" w:sz="4" w:space="0" w:color="auto"/>
            </w:tcBorders>
            <w:shd w:val="clear" w:color="auto" w:fill="auto"/>
            <w:noWrap/>
            <w:vAlign w:val="bottom"/>
            <w:hideMark/>
          </w:tcPr>
          <w:p w:rsidR="00E2528D" w:rsidRPr="00E2528D" w:rsidRDefault="00E2528D" w:rsidP="00E2528D">
            <w:pPr>
              <w:spacing w:after="0" w:line="240" w:lineRule="auto"/>
              <w:jc w:val="right"/>
              <w:rPr>
                <w:rFonts w:ascii="Calibri" w:eastAsia="Times New Roman" w:hAnsi="Calibri" w:cs="Calibri"/>
                <w:color w:val="000000"/>
                <w:sz w:val="24"/>
                <w:szCs w:val="24"/>
                <w:lang w:eastAsia="cs-CZ"/>
              </w:rPr>
            </w:pPr>
            <w:r w:rsidRPr="00E2528D">
              <w:rPr>
                <w:rFonts w:ascii="Calibri" w:eastAsia="Times New Roman" w:hAnsi="Calibri" w:cs="Calibri"/>
                <w:color w:val="000000"/>
                <w:sz w:val="24"/>
                <w:szCs w:val="24"/>
                <w:lang w:eastAsia="cs-CZ"/>
              </w:rPr>
              <w:t>0</w:t>
            </w:r>
          </w:p>
        </w:tc>
        <w:tc>
          <w:tcPr>
            <w:tcW w:w="1320" w:type="dxa"/>
            <w:tcBorders>
              <w:top w:val="nil"/>
              <w:left w:val="nil"/>
              <w:bottom w:val="single" w:sz="4" w:space="0" w:color="auto"/>
              <w:right w:val="single" w:sz="4" w:space="0" w:color="auto"/>
            </w:tcBorders>
            <w:shd w:val="clear" w:color="auto" w:fill="auto"/>
            <w:noWrap/>
            <w:vAlign w:val="bottom"/>
            <w:hideMark/>
          </w:tcPr>
          <w:p w:rsidR="00E2528D" w:rsidRPr="00E2528D" w:rsidRDefault="00E2528D" w:rsidP="00E2528D">
            <w:pPr>
              <w:spacing w:after="0" w:line="240" w:lineRule="auto"/>
              <w:jc w:val="right"/>
              <w:rPr>
                <w:rFonts w:ascii="Calibri" w:eastAsia="Times New Roman" w:hAnsi="Calibri" w:cs="Calibri"/>
                <w:color w:val="000000"/>
                <w:sz w:val="24"/>
                <w:szCs w:val="24"/>
                <w:lang w:eastAsia="cs-CZ"/>
              </w:rPr>
            </w:pPr>
            <w:r w:rsidRPr="00E2528D">
              <w:rPr>
                <w:rFonts w:ascii="Calibri" w:eastAsia="Times New Roman" w:hAnsi="Calibri" w:cs="Calibri"/>
                <w:color w:val="000000"/>
                <w:sz w:val="24"/>
                <w:szCs w:val="24"/>
                <w:lang w:eastAsia="cs-CZ"/>
              </w:rPr>
              <w:t>0</w:t>
            </w:r>
          </w:p>
        </w:tc>
      </w:tr>
    </w:tbl>
    <w:p w:rsidR="00836927" w:rsidRDefault="00836927"/>
    <w:p w:rsidR="00836927" w:rsidRPr="00836927" w:rsidRDefault="007B32B5">
      <w:pPr>
        <w:rPr>
          <w:b/>
          <w:sz w:val="28"/>
          <w:szCs w:val="28"/>
        </w:rPr>
      </w:pPr>
      <w:r>
        <w:rPr>
          <w:b/>
          <w:sz w:val="28"/>
          <w:szCs w:val="28"/>
        </w:rPr>
        <w:t>Komentář ke střednědobému výhledu</w:t>
      </w:r>
      <w:r w:rsidR="00836927" w:rsidRPr="00836927">
        <w:rPr>
          <w:b/>
          <w:sz w:val="28"/>
          <w:szCs w:val="28"/>
        </w:rPr>
        <w:t xml:space="preserve"> na roky 20</w:t>
      </w:r>
      <w:r w:rsidR="00C93283">
        <w:rPr>
          <w:b/>
          <w:sz w:val="28"/>
          <w:szCs w:val="28"/>
        </w:rPr>
        <w:t>21</w:t>
      </w:r>
      <w:r w:rsidR="00836927" w:rsidRPr="00836927">
        <w:rPr>
          <w:b/>
          <w:sz w:val="28"/>
          <w:szCs w:val="28"/>
        </w:rPr>
        <w:t xml:space="preserve"> – 20</w:t>
      </w:r>
      <w:r>
        <w:rPr>
          <w:b/>
          <w:sz w:val="28"/>
          <w:szCs w:val="28"/>
        </w:rPr>
        <w:t>2</w:t>
      </w:r>
      <w:r w:rsidR="00C93283">
        <w:rPr>
          <w:b/>
          <w:sz w:val="28"/>
          <w:szCs w:val="28"/>
        </w:rPr>
        <w:t>2</w:t>
      </w:r>
    </w:p>
    <w:p w:rsidR="00836927" w:rsidRDefault="000B5F4E" w:rsidP="00CB21BF">
      <w:pPr>
        <w:jc w:val="both"/>
      </w:pPr>
      <w:r>
        <w:t>Střednědobý výhled rozpočtu</w:t>
      </w:r>
      <w:r w:rsidR="00836927">
        <w:t xml:space="preserve"> (dále jen </w:t>
      </w:r>
      <w:r>
        <w:t>SVR</w:t>
      </w:r>
      <w:r w:rsidR="00836927">
        <w:t>) je pomocným nástrojem pro střednědobé finanční</w:t>
      </w:r>
      <w:r w:rsidR="00C92068">
        <w:t xml:space="preserve"> </w:t>
      </w:r>
      <w:r w:rsidR="00836927">
        <w:t xml:space="preserve">plánování rozvoje města a jeho hospodaření. Slouží jako vodítko pro sestavení ročního rozpočtu na následující kalendářní rok a je podkladem pro přípravu investičních akcí. </w:t>
      </w:r>
    </w:p>
    <w:p w:rsidR="00D91964" w:rsidRDefault="00D91964" w:rsidP="00CB21BF">
      <w:pPr>
        <w:jc w:val="both"/>
      </w:pPr>
      <w:r>
        <w:t>Smyslem SVR je prokázat schopnost, že město dostojí svým dosavadním závazkům.</w:t>
      </w:r>
    </w:p>
    <w:p w:rsidR="00D5741E" w:rsidRDefault="00D5741E" w:rsidP="00D5741E">
      <w:pPr>
        <w:spacing w:line="240" w:lineRule="auto"/>
      </w:pPr>
      <w:r>
        <w:t xml:space="preserve">Při </w:t>
      </w:r>
      <w:proofErr w:type="gramStart"/>
      <w:r>
        <w:t xml:space="preserve">sestavování </w:t>
      </w:r>
      <w:r w:rsidR="000B5F4E">
        <w:t xml:space="preserve"> SVR</w:t>
      </w:r>
      <w:proofErr w:type="gramEnd"/>
      <w:r w:rsidR="000B5F4E">
        <w:t xml:space="preserve"> </w:t>
      </w:r>
      <w:r>
        <w:t xml:space="preserve"> na následující dva roky jsme vycházeli ze zákonných předpisů, kt</w:t>
      </w:r>
      <w:r w:rsidR="00C93283">
        <w:t>eré jsou platné v současné době a z dalších dokumentů:</w:t>
      </w:r>
    </w:p>
    <w:p w:rsidR="00D5741E" w:rsidRDefault="00D5741E" w:rsidP="00D5741E">
      <w:pPr>
        <w:pStyle w:val="Odstavecseseznamem"/>
        <w:numPr>
          <w:ilvl w:val="0"/>
          <w:numId w:val="5"/>
        </w:numPr>
        <w:spacing w:line="240" w:lineRule="auto"/>
        <w:jc w:val="both"/>
      </w:pPr>
      <w:r>
        <w:t>Zákon 250/2000 Sb. o rozpočtových pravidlech územních rozpočtů</w:t>
      </w:r>
    </w:p>
    <w:p w:rsidR="00D5741E" w:rsidRDefault="00D5741E" w:rsidP="00D5741E">
      <w:pPr>
        <w:pStyle w:val="Odstavecseseznamem"/>
        <w:numPr>
          <w:ilvl w:val="0"/>
          <w:numId w:val="5"/>
        </w:numPr>
        <w:spacing w:line="240" w:lineRule="auto"/>
        <w:jc w:val="both"/>
      </w:pPr>
      <w:r>
        <w:t>Zákon 128/2000 Sb. o obcích</w:t>
      </w:r>
    </w:p>
    <w:p w:rsidR="00D5741E" w:rsidRDefault="00D5741E" w:rsidP="00D5741E">
      <w:pPr>
        <w:pStyle w:val="Odstavecseseznamem"/>
        <w:numPr>
          <w:ilvl w:val="0"/>
          <w:numId w:val="5"/>
        </w:numPr>
        <w:spacing w:line="240" w:lineRule="auto"/>
        <w:jc w:val="both"/>
      </w:pPr>
      <w:r>
        <w:t>Zákon 243/2000 Sb. o rozpočtovém určení daní</w:t>
      </w:r>
    </w:p>
    <w:p w:rsidR="00C93283" w:rsidRDefault="00C93283" w:rsidP="00D5741E">
      <w:pPr>
        <w:pStyle w:val="Odstavecseseznamem"/>
        <w:numPr>
          <w:ilvl w:val="0"/>
          <w:numId w:val="5"/>
        </w:numPr>
        <w:spacing w:line="240" w:lineRule="auto"/>
        <w:jc w:val="both"/>
      </w:pPr>
      <w:r>
        <w:t xml:space="preserve">Účetní a finanční výkazy </w:t>
      </w:r>
    </w:p>
    <w:p w:rsidR="00C93283" w:rsidRDefault="00C93283" w:rsidP="00D5741E">
      <w:pPr>
        <w:pStyle w:val="Odstavecseseznamem"/>
        <w:numPr>
          <w:ilvl w:val="0"/>
          <w:numId w:val="5"/>
        </w:numPr>
        <w:spacing w:line="240" w:lineRule="auto"/>
        <w:jc w:val="both"/>
      </w:pPr>
      <w:r>
        <w:t xml:space="preserve">Predikce výnosů daní </w:t>
      </w:r>
      <w:proofErr w:type="spellStart"/>
      <w:r>
        <w:t>Cityfinance</w:t>
      </w:r>
      <w:proofErr w:type="spellEnd"/>
      <w:r>
        <w:t xml:space="preserve"> využívající makroekonomické prognózy MF ČR, ČNB, KB a.s. a vybraná data ČSÚ.</w:t>
      </w:r>
    </w:p>
    <w:p w:rsidR="00D5741E" w:rsidRDefault="00D5741E" w:rsidP="00D5741E">
      <w:pPr>
        <w:spacing w:line="240" w:lineRule="auto"/>
        <w:jc w:val="both"/>
      </w:pPr>
      <w:r>
        <w:t xml:space="preserve">Předpoklady zohledněné při sestavování </w:t>
      </w:r>
      <w:r w:rsidR="000B5F4E">
        <w:t>SVR</w:t>
      </w:r>
      <w:r>
        <w:t>:</w:t>
      </w:r>
    </w:p>
    <w:p w:rsidR="00D5741E" w:rsidRDefault="00D5741E" w:rsidP="00D5741E">
      <w:pPr>
        <w:pStyle w:val="Odstavecseseznamem"/>
        <w:numPr>
          <w:ilvl w:val="0"/>
          <w:numId w:val="6"/>
        </w:numPr>
        <w:spacing w:line="240" w:lineRule="auto"/>
        <w:jc w:val="both"/>
      </w:pPr>
      <w:r>
        <w:t>příjmová a výdajová část (běžná) rozpočtu se bude v následujících letech vyvíjet zhruba ve stejném objemu, ovlivněném pouze inflací</w:t>
      </w:r>
    </w:p>
    <w:p w:rsidR="00D5741E" w:rsidRDefault="00D5741E" w:rsidP="00D5741E">
      <w:pPr>
        <w:pStyle w:val="Odstavecseseznamem"/>
        <w:numPr>
          <w:ilvl w:val="0"/>
          <w:numId w:val="6"/>
        </w:numPr>
        <w:spacing w:line="240" w:lineRule="auto"/>
        <w:jc w:val="both"/>
      </w:pPr>
      <w:r>
        <w:t>nedojde k novele zákona o rozpočtovém určení daní</w:t>
      </w:r>
    </w:p>
    <w:p w:rsidR="00D5741E" w:rsidRDefault="00D5741E" w:rsidP="00D5741E">
      <w:pPr>
        <w:pStyle w:val="Odstavecseseznamem"/>
        <w:spacing w:line="240" w:lineRule="auto"/>
        <w:jc w:val="both"/>
      </w:pPr>
    </w:p>
    <w:p w:rsidR="00D5741E" w:rsidRDefault="00D5741E" w:rsidP="00D5741E">
      <w:pPr>
        <w:spacing w:line="240" w:lineRule="auto"/>
        <w:jc w:val="both"/>
      </w:pPr>
      <w:r>
        <w:t xml:space="preserve">Daňové a nedaňové příjmy a neinvestiční dotace jsou zdrojem krytí běžných výdajů města. Kapitálové výdaje mají být zajištěny kapitálovými příjmy, příjmy z dotací na investice. </w:t>
      </w:r>
    </w:p>
    <w:p w:rsidR="00D5741E" w:rsidRDefault="00D5741E" w:rsidP="00D5741E">
      <w:pPr>
        <w:spacing w:line="240" w:lineRule="auto"/>
        <w:jc w:val="both"/>
      </w:pPr>
      <w:r>
        <w:t xml:space="preserve"> </w:t>
      </w:r>
      <w:proofErr w:type="gramStart"/>
      <w:r>
        <w:t>Následující  faktory</w:t>
      </w:r>
      <w:proofErr w:type="gramEnd"/>
      <w:r>
        <w:t xml:space="preserve"> mohou ovlivnit vývoj finančních zdrojů města:</w:t>
      </w:r>
    </w:p>
    <w:p w:rsidR="00D5741E" w:rsidRDefault="00D5741E" w:rsidP="00D5741E">
      <w:pPr>
        <w:pStyle w:val="Odstavecseseznamem"/>
        <w:numPr>
          <w:ilvl w:val="0"/>
          <w:numId w:val="7"/>
        </w:numPr>
        <w:spacing w:line="240" w:lineRule="auto"/>
        <w:jc w:val="both"/>
      </w:pPr>
      <w:r>
        <w:t>novely daňových zákonů,</w:t>
      </w:r>
    </w:p>
    <w:p w:rsidR="00D5741E" w:rsidRDefault="00D5741E" w:rsidP="00D5741E">
      <w:pPr>
        <w:pStyle w:val="Odstavecseseznamem"/>
        <w:numPr>
          <w:ilvl w:val="0"/>
          <w:numId w:val="7"/>
        </w:numPr>
        <w:spacing w:line="240" w:lineRule="auto"/>
        <w:jc w:val="both"/>
      </w:pPr>
      <w:r>
        <w:t>měnící se rozsah a výše dotací ze státního rozpočtu,</w:t>
      </w:r>
      <w:r>
        <w:tab/>
      </w:r>
    </w:p>
    <w:p w:rsidR="00D5741E" w:rsidRDefault="00D5741E" w:rsidP="00D5741E">
      <w:pPr>
        <w:pStyle w:val="Odstavecseseznamem"/>
        <w:numPr>
          <w:ilvl w:val="0"/>
          <w:numId w:val="7"/>
        </w:numPr>
        <w:spacing w:line="240" w:lineRule="auto"/>
        <w:jc w:val="both"/>
      </w:pPr>
      <w:r>
        <w:t>zajišťování vlastních zdrojů na financování akcí, kde je spoluúčast na financování z evropských fondů.</w:t>
      </w:r>
    </w:p>
    <w:p w:rsidR="00D5741E" w:rsidRDefault="000B5F4E" w:rsidP="00D5741E">
      <w:pPr>
        <w:spacing w:line="240" w:lineRule="auto"/>
        <w:jc w:val="both"/>
      </w:pPr>
      <w:proofErr w:type="gramStart"/>
      <w:r>
        <w:t xml:space="preserve">SVR </w:t>
      </w:r>
      <w:r w:rsidR="00D5741E">
        <w:t xml:space="preserve"> predikuje</w:t>
      </w:r>
      <w:proofErr w:type="gramEnd"/>
      <w:r w:rsidR="00D5741E">
        <w:t xml:space="preserve"> vývoj příjmů a výdajů pouze v zásadních položkách, nesestavuje podrobné financování města v období, na které je sestavován.</w:t>
      </w:r>
      <w:r w:rsidR="00C93283">
        <w:t xml:space="preserve"> Aby plnil správně svou roli, je aktualizován každý rok.</w:t>
      </w:r>
    </w:p>
    <w:p w:rsidR="00C93283" w:rsidRDefault="00D5741E" w:rsidP="00D5741E">
      <w:pPr>
        <w:spacing w:line="240" w:lineRule="auto"/>
        <w:jc w:val="both"/>
      </w:pPr>
      <w:r>
        <w:t>Bude-li městu přiznána v roce 20</w:t>
      </w:r>
      <w:r w:rsidR="009774BE">
        <w:t>2</w:t>
      </w:r>
      <w:r w:rsidR="00C93283">
        <w:t>1</w:t>
      </w:r>
      <w:r w:rsidR="000B5F4E">
        <w:t>, 202</w:t>
      </w:r>
      <w:r w:rsidR="00C93283">
        <w:t>2</w:t>
      </w:r>
      <w:r w:rsidR="000B5F4E">
        <w:t xml:space="preserve"> in</w:t>
      </w:r>
      <w:r>
        <w:t xml:space="preserve">vestiční dotace, provede se aktualizace </w:t>
      </w:r>
      <w:r w:rsidR="000B5F4E">
        <w:t>SVR.</w:t>
      </w:r>
    </w:p>
    <w:p w:rsidR="00C93283" w:rsidRDefault="00C93283" w:rsidP="00D5741E">
      <w:pPr>
        <w:spacing w:line="240" w:lineRule="auto"/>
        <w:jc w:val="both"/>
      </w:pPr>
    </w:p>
    <w:p w:rsidR="00DB70A9" w:rsidRPr="00DB70A9" w:rsidRDefault="00DB70A9" w:rsidP="00CB21BF">
      <w:pPr>
        <w:jc w:val="both"/>
        <w:rPr>
          <w:b/>
          <w:color w:val="1F497D" w:themeColor="text2"/>
          <w:sz w:val="28"/>
          <w:szCs w:val="28"/>
        </w:rPr>
      </w:pPr>
      <w:r w:rsidRPr="00DB70A9">
        <w:rPr>
          <w:b/>
          <w:color w:val="1F497D" w:themeColor="text2"/>
          <w:sz w:val="28"/>
          <w:szCs w:val="28"/>
        </w:rPr>
        <w:t>PŘÍJMY</w:t>
      </w:r>
    </w:p>
    <w:p w:rsidR="00DB70A9" w:rsidRPr="00DB70A9" w:rsidRDefault="00DB70A9" w:rsidP="00CB21BF">
      <w:pPr>
        <w:jc w:val="both"/>
        <w:rPr>
          <w:b/>
          <w:color w:val="00B0F0"/>
        </w:rPr>
      </w:pPr>
      <w:r w:rsidRPr="00DB70A9">
        <w:rPr>
          <w:b/>
          <w:color w:val="00B0F0"/>
        </w:rPr>
        <w:t>Daňové příjmy</w:t>
      </w:r>
    </w:p>
    <w:p w:rsidR="00836927" w:rsidRDefault="00836927" w:rsidP="00CB21BF">
      <w:pPr>
        <w:jc w:val="both"/>
      </w:pPr>
      <w:r>
        <w:t>Rozhodující</w:t>
      </w:r>
      <w:r w:rsidR="00CB21BF">
        <w:t xml:space="preserve"> </w:t>
      </w:r>
      <w:r>
        <w:t xml:space="preserve">položkou v příjmové části jsou daňové příjmy, které představují cca 80 % rozpočtovaných příjmů města. Jejich výše v jednotlivých letech je dána předpokladem MF ČR o objemu jejich výběru a podílem dle rozpočtového určení daní, kde se předpokládá </w:t>
      </w:r>
      <w:r w:rsidR="00EA6768">
        <w:t xml:space="preserve">jejich meziroční nárůst. </w:t>
      </w:r>
    </w:p>
    <w:p w:rsidR="008B0DA8" w:rsidRDefault="008B0DA8" w:rsidP="00CB21BF">
      <w:pPr>
        <w:jc w:val="both"/>
      </w:pPr>
      <w:r>
        <w:lastRenderedPageBreak/>
        <w:t>Budoucnost daňových příjmů potáhne nahoru zejména výnos ze závislé činnosti fyzických osob, jinak je očekáván spíše skeptický vývoj.</w:t>
      </w:r>
    </w:p>
    <w:p w:rsidR="009774BE" w:rsidRDefault="009774BE" w:rsidP="00CB21BF">
      <w:pPr>
        <w:jc w:val="both"/>
      </w:pPr>
      <w:r>
        <w:t>Bylo posíleno kritérium počtu žáků ze 7 % na 9 %.</w:t>
      </w:r>
    </w:p>
    <w:p w:rsidR="00EA6768" w:rsidRDefault="00EA6768" w:rsidP="00CB21BF">
      <w:pPr>
        <w:jc w:val="both"/>
      </w:pPr>
      <w:r>
        <w:t>Při sestavování</w:t>
      </w:r>
      <w:r w:rsidR="00CB21BF">
        <w:t xml:space="preserve"> </w:t>
      </w:r>
      <w:r w:rsidR="000B5F4E">
        <w:t>SVR</w:t>
      </w:r>
      <w:r>
        <w:t xml:space="preserve"> na roky 20</w:t>
      </w:r>
      <w:r w:rsidR="008B0DA8">
        <w:t>21</w:t>
      </w:r>
      <w:r w:rsidR="000B5F4E">
        <w:t xml:space="preserve"> </w:t>
      </w:r>
      <w:r>
        <w:t>– 20</w:t>
      </w:r>
      <w:r w:rsidR="009774BE">
        <w:t>2</w:t>
      </w:r>
      <w:r w:rsidR="008B0DA8">
        <w:t>2</w:t>
      </w:r>
      <w:r>
        <w:t xml:space="preserve"> byly zohledněny vlivy na vývoj daňového inkasa v r. 201</w:t>
      </w:r>
      <w:r w:rsidR="008B0DA8">
        <w:t>9</w:t>
      </w:r>
      <w:r>
        <w:t xml:space="preserve"> dle MF ČR</w:t>
      </w:r>
      <w:r w:rsidR="00CB21BF">
        <w:t>.</w:t>
      </w:r>
    </w:p>
    <w:p w:rsidR="009774BE" w:rsidRDefault="009774BE" w:rsidP="00CB21BF">
      <w:pPr>
        <w:jc w:val="both"/>
      </w:pPr>
    </w:p>
    <w:p w:rsidR="00EA6768" w:rsidRPr="00DB70A9" w:rsidRDefault="00EA6768" w:rsidP="00CB21BF">
      <w:pPr>
        <w:jc w:val="both"/>
        <w:rPr>
          <w:b/>
          <w:color w:val="C0504D" w:themeColor="accent2"/>
        </w:rPr>
      </w:pPr>
      <w:r w:rsidRPr="00DB70A9">
        <w:rPr>
          <w:b/>
          <w:color w:val="C0504D" w:themeColor="accent2"/>
        </w:rPr>
        <w:t>DPH</w:t>
      </w:r>
    </w:p>
    <w:p w:rsidR="00EA6768" w:rsidRDefault="00EA6768" w:rsidP="00CB21BF">
      <w:pPr>
        <w:pStyle w:val="Odstavecseseznamem"/>
        <w:numPr>
          <w:ilvl w:val="0"/>
          <w:numId w:val="2"/>
        </w:numPr>
        <w:jc w:val="both"/>
      </w:pPr>
      <w:r>
        <w:t>Výraznější pokles vyplácených nadměrných odpočtů – pravděpodobný důsledek zavedení kontrolního hlášení a rozšiřování mechanismu přenesení daňové povinnosti</w:t>
      </w:r>
    </w:p>
    <w:p w:rsidR="00EA6768" w:rsidRDefault="00EA6768" w:rsidP="00CB21BF">
      <w:pPr>
        <w:pStyle w:val="Odstavecseseznamem"/>
        <w:numPr>
          <w:ilvl w:val="0"/>
          <w:numId w:val="2"/>
        </w:numPr>
        <w:jc w:val="both"/>
      </w:pPr>
      <w:r>
        <w:t>Meziročně vyšší růst spotřeby domácností a vlády</w:t>
      </w:r>
    </w:p>
    <w:p w:rsidR="009774BE" w:rsidRDefault="009774BE" w:rsidP="00CB21BF">
      <w:pPr>
        <w:pStyle w:val="Odstavecseseznamem"/>
        <w:numPr>
          <w:ilvl w:val="0"/>
          <w:numId w:val="2"/>
        </w:numPr>
        <w:jc w:val="both"/>
      </w:pPr>
      <w:r>
        <w:t xml:space="preserve">Zvýšení podílu obcí na DPH z 21,4 % na 23,58 % </w:t>
      </w:r>
    </w:p>
    <w:p w:rsidR="009774BE" w:rsidRDefault="009774BE" w:rsidP="009774BE">
      <w:pPr>
        <w:pStyle w:val="Odstavecseseznamem"/>
        <w:jc w:val="both"/>
      </w:pPr>
    </w:p>
    <w:p w:rsidR="00EA6768" w:rsidRPr="00DB70A9" w:rsidRDefault="00EA6768" w:rsidP="00CB21BF">
      <w:pPr>
        <w:jc w:val="both"/>
        <w:rPr>
          <w:b/>
          <w:color w:val="C0504D" w:themeColor="accent2"/>
        </w:rPr>
      </w:pPr>
      <w:r w:rsidRPr="00DB70A9">
        <w:rPr>
          <w:b/>
          <w:color w:val="C0504D" w:themeColor="accent2"/>
        </w:rPr>
        <w:t>DPFO</w:t>
      </w:r>
    </w:p>
    <w:p w:rsidR="00EA6768" w:rsidRDefault="00EA6768" w:rsidP="00CB21BF">
      <w:pPr>
        <w:pStyle w:val="Odstavecseseznamem"/>
        <w:numPr>
          <w:ilvl w:val="0"/>
          <w:numId w:val="3"/>
        </w:numPr>
        <w:jc w:val="both"/>
      </w:pPr>
      <w:r>
        <w:t>Navýšení mezd zaměstnanců v podnikatelské sféře</w:t>
      </w:r>
    </w:p>
    <w:p w:rsidR="00EA6768" w:rsidRDefault="00EA6768" w:rsidP="00CB21BF">
      <w:pPr>
        <w:pStyle w:val="Odstavecseseznamem"/>
        <w:numPr>
          <w:ilvl w:val="0"/>
          <w:numId w:val="3"/>
        </w:numPr>
        <w:jc w:val="both"/>
      </w:pPr>
      <w:r>
        <w:t>Snižování míry nezaměstnanosti</w:t>
      </w:r>
    </w:p>
    <w:p w:rsidR="00EA6768" w:rsidRDefault="00EA6768" w:rsidP="00CB21BF">
      <w:pPr>
        <w:pStyle w:val="Odstavecseseznamem"/>
        <w:numPr>
          <w:ilvl w:val="0"/>
          <w:numId w:val="3"/>
        </w:numPr>
        <w:jc w:val="both"/>
      </w:pPr>
      <w:r>
        <w:t>Navyšováním platů ve veřejné správě</w:t>
      </w:r>
    </w:p>
    <w:p w:rsidR="00EA6768" w:rsidRDefault="00EA6768" w:rsidP="00CB21BF">
      <w:pPr>
        <w:pStyle w:val="Odstavecseseznamem"/>
        <w:numPr>
          <w:ilvl w:val="0"/>
          <w:numId w:val="3"/>
        </w:numPr>
        <w:jc w:val="both"/>
      </w:pPr>
      <w:r>
        <w:t>Drobná změna podílu RUD obcí a krajů (od 1. 1. 2016 – navýšení z podílu 22,87 % na 23,58 %</w:t>
      </w:r>
      <w:r w:rsidR="00CB21BF">
        <w:t xml:space="preserve">. </w:t>
      </w:r>
    </w:p>
    <w:p w:rsidR="00CB21BF" w:rsidRPr="00DB70A9" w:rsidRDefault="00CB21BF" w:rsidP="00CB21BF">
      <w:pPr>
        <w:jc w:val="both"/>
        <w:rPr>
          <w:b/>
          <w:color w:val="C0504D" w:themeColor="accent2"/>
        </w:rPr>
      </w:pPr>
      <w:r w:rsidRPr="00DB70A9">
        <w:rPr>
          <w:b/>
          <w:color w:val="C0504D" w:themeColor="accent2"/>
        </w:rPr>
        <w:t>DPPO</w:t>
      </w:r>
    </w:p>
    <w:p w:rsidR="00CB21BF" w:rsidRDefault="00CB21BF" w:rsidP="00CB21BF">
      <w:pPr>
        <w:pStyle w:val="Odstavecseseznamem"/>
        <w:numPr>
          <w:ilvl w:val="0"/>
          <w:numId w:val="4"/>
        </w:numPr>
        <w:jc w:val="both"/>
      </w:pPr>
      <w:r>
        <w:t>Pozitivní vývoj ekonomiky</w:t>
      </w:r>
    </w:p>
    <w:p w:rsidR="00CB21BF" w:rsidRDefault="00CB21BF" w:rsidP="00CB21BF">
      <w:pPr>
        <w:pStyle w:val="Odstavecseseznamem"/>
        <w:numPr>
          <w:ilvl w:val="0"/>
          <w:numId w:val="4"/>
        </w:numPr>
        <w:jc w:val="both"/>
      </w:pPr>
      <w:r>
        <w:t>Efektivnější výběr daně (kontrolní akce Finanční správy)</w:t>
      </w:r>
      <w:r>
        <w:rPr>
          <w:rStyle w:val="Znakapoznpodarou"/>
        </w:rPr>
        <w:footnoteReference w:id="1"/>
      </w:r>
    </w:p>
    <w:p w:rsidR="00DB70A9" w:rsidRDefault="00DB70A9" w:rsidP="00CB21BF">
      <w:pPr>
        <w:jc w:val="both"/>
      </w:pPr>
      <w:r>
        <w:t>Daňové příjmy dále zahrnují příjmy z místních a správních poplatků vybíraných na základě zákonů či obecně závazných vyhlášek (poplatek za odpady, z ubytování, ze psů, atd.)</w:t>
      </w:r>
    </w:p>
    <w:p w:rsidR="00DB70A9" w:rsidRPr="00DB70A9" w:rsidRDefault="00DB70A9" w:rsidP="00CB21BF">
      <w:pPr>
        <w:jc w:val="both"/>
        <w:rPr>
          <w:b/>
          <w:color w:val="00B0F0"/>
        </w:rPr>
      </w:pPr>
      <w:r w:rsidRPr="00DB70A9">
        <w:rPr>
          <w:b/>
          <w:color w:val="00B0F0"/>
        </w:rPr>
        <w:t>Nedaňové příjmy</w:t>
      </w:r>
    </w:p>
    <w:p w:rsidR="00DB70A9" w:rsidRDefault="00DB70A9" w:rsidP="00370A4C">
      <w:pPr>
        <w:pStyle w:val="Odstavecseseznamem"/>
        <w:numPr>
          <w:ilvl w:val="0"/>
          <w:numId w:val="9"/>
        </w:numPr>
        <w:jc w:val="both"/>
      </w:pPr>
      <w:r>
        <w:t>Nedaňové příjmy zahrnují z pronájmu majetku a z poskytovaných služeb s pronájmem související, příjmy z lesního hospodářství, atd.</w:t>
      </w:r>
      <w:r w:rsidR="008B0DA8">
        <w:t xml:space="preserve"> </w:t>
      </w:r>
    </w:p>
    <w:p w:rsidR="008B0DA8" w:rsidRDefault="008B0DA8" w:rsidP="00370A4C">
      <w:pPr>
        <w:pStyle w:val="Odstavecseseznamem"/>
        <w:numPr>
          <w:ilvl w:val="0"/>
          <w:numId w:val="9"/>
        </w:numPr>
        <w:jc w:val="both"/>
      </w:pPr>
      <w:r>
        <w:t>Nedaňové příjmy nejsou významné svou výší, ale nereagují tak citlivě na vývoj ekonomiky jako daňové příjmy a nejsou závislé na byrokratickém systému dotací.</w:t>
      </w:r>
    </w:p>
    <w:p w:rsidR="00DB70A9" w:rsidRPr="00DB70A9" w:rsidRDefault="00DB70A9" w:rsidP="00CB21BF">
      <w:pPr>
        <w:jc w:val="both"/>
        <w:rPr>
          <w:b/>
          <w:color w:val="00B0F0"/>
        </w:rPr>
      </w:pPr>
      <w:r w:rsidRPr="00DB70A9">
        <w:rPr>
          <w:b/>
          <w:color w:val="00B0F0"/>
        </w:rPr>
        <w:t>Kapitálové příjmy</w:t>
      </w:r>
    </w:p>
    <w:p w:rsidR="00DB70A9" w:rsidRDefault="00DB70A9" w:rsidP="00370A4C">
      <w:pPr>
        <w:pStyle w:val="Odstavecseseznamem"/>
        <w:numPr>
          <w:ilvl w:val="0"/>
          <w:numId w:val="9"/>
        </w:numPr>
        <w:jc w:val="both"/>
      </w:pPr>
      <w:r>
        <w:t>Nejsou rozpočtovány.</w:t>
      </w:r>
    </w:p>
    <w:p w:rsidR="009774BE" w:rsidRDefault="009774BE" w:rsidP="00370A4C">
      <w:pPr>
        <w:jc w:val="both"/>
        <w:rPr>
          <w:b/>
          <w:color w:val="00B0F0"/>
        </w:rPr>
      </w:pPr>
    </w:p>
    <w:p w:rsidR="00E2528D" w:rsidRDefault="00E2528D" w:rsidP="00370A4C">
      <w:pPr>
        <w:jc w:val="both"/>
        <w:rPr>
          <w:b/>
          <w:color w:val="00B0F0"/>
        </w:rPr>
      </w:pPr>
    </w:p>
    <w:p w:rsidR="00E2528D" w:rsidRDefault="00E2528D" w:rsidP="00370A4C">
      <w:pPr>
        <w:jc w:val="both"/>
        <w:rPr>
          <w:b/>
          <w:color w:val="00B0F0"/>
        </w:rPr>
      </w:pPr>
    </w:p>
    <w:p w:rsidR="00DB70A9" w:rsidRPr="00370A4C" w:rsidRDefault="00DB70A9" w:rsidP="00370A4C">
      <w:pPr>
        <w:jc w:val="both"/>
        <w:rPr>
          <w:b/>
          <w:color w:val="00B0F0"/>
        </w:rPr>
      </w:pPr>
      <w:r w:rsidRPr="00370A4C">
        <w:rPr>
          <w:b/>
          <w:color w:val="00B0F0"/>
        </w:rPr>
        <w:lastRenderedPageBreak/>
        <w:t>Dotace</w:t>
      </w:r>
    </w:p>
    <w:p w:rsidR="00DB70A9" w:rsidRDefault="00DB70A9" w:rsidP="00370A4C">
      <w:pPr>
        <w:pStyle w:val="Odstavecseseznamem"/>
        <w:numPr>
          <w:ilvl w:val="0"/>
          <w:numId w:val="9"/>
        </w:numPr>
        <w:jc w:val="both"/>
      </w:pPr>
      <w:r>
        <w:t>Dotace zahrnují především příjmy z prostředků jiných rozpočtů na základě uzavřených veřejnoprávních smluv, dále příspěvek na výkon státní správy</w:t>
      </w:r>
      <w:r w:rsidR="009774BE">
        <w:t>.</w:t>
      </w:r>
    </w:p>
    <w:p w:rsidR="00DB70A9" w:rsidRPr="00DB70A9" w:rsidRDefault="00DB70A9" w:rsidP="00CB21BF">
      <w:pPr>
        <w:jc w:val="both"/>
        <w:rPr>
          <w:b/>
          <w:color w:val="1F497D" w:themeColor="text2"/>
          <w:sz w:val="28"/>
          <w:szCs w:val="28"/>
        </w:rPr>
      </w:pPr>
      <w:r w:rsidRPr="00DB70A9">
        <w:rPr>
          <w:b/>
          <w:color w:val="1F497D" w:themeColor="text2"/>
          <w:sz w:val="28"/>
          <w:szCs w:val="28"/>
        </w:rPr>
        <w:t>VÝDAJE</w:t>
      </w:r>
    </w:p>
    <w:p w:rsidR="00DB70A9" w:rsidRDefault="00DB70A9" w:rsidP="00CB21BF">
      <w:pPr>
        <w:jc w:val="both"/>
        <w:rPr>
          <w:b/>
          <w:color w:val="00B0F0"/>
        </w:rPr>
      </w:pPr>
      <w:r w:rsidRPr="00DB70A9">
        <w:rPr>
          <w:b/>
          <w:color w:val="00B0F0"/>
        </w:rPr>
        <w:t>Běžné výdaje</w:t>
      </w:r>
    </w:p>
    <w:p w:rsidR="00D5741E" w:rsidRDefault="00D5741E" w:rsidP="00D5741E">
      <w:pPr>
        <w:spacing w:line="240" w:lineRule="auto"/>
        <w:jc w:val="both"/>
      </w:pPr>
      <w:r>
        <w:t xml:space="preserve">Běžnými výdaji jsou neinvestiční nákupy a související výdaje, tzv. mandatorní výdaje, které </w:t>
      </w:r>
      <w:proofErr w:type="gramStart"/>
      <w:r>
        <w:t>obsahují :</w:t>
      </w:r>
      <w:proofErr w:type="gramEnd"/>
    </w:p>
    <w:p w:rsidR="00D5741E" w:rsidRDefault="00D5741E" w:rsidP="00D5741E">
      <w:pPr>
        <w:pStyle w:val="Odstavecseseznamem"/>
        <w:numPr>
          <w:ilvl w:val="0"/>
          <w:numId w:val="8"/>
        </w:numPr>
        <w:spacing w:line="240" w:lineRule="auto"/>
        <w:jc w:val="both"/>
      </w:pPr>
      <w:r>
        <w:t>výdaje na svoz komunálního odpadu,</w:t>
      </w:r>
    </w:p>
    <w:p w:rsidR="00D5741E" w:rsidRDefault="00D5741E" w:rsidP="00D5741E">
      <w:pPr>
        <w:pStyle w:val="Odstavecseseznamem"/>
        <w:numPr>
          <w:ilvl w:val="0"/>
          <w:numId w:val="8"/>
        </w:numPr>
        <w:spacing w:line="240" w:lineRule="auto"/>
        <w:jc w:val="both"/>
      </w:pPr>
      <w:r>
        <w:t>výdaje na opravy a údržbu majetku</w:t>
      </w:r>
    </w:p>
    <w:p w:rsidR="00D5741E" w:rsidRDefault="00D5741E" w:rsidP="00D5741E">
      <w:pPr>
        <w:pStyle w:val="Odstavecseseznamem"/>
        <w:numPr>
          <w:ilvl w:val="0"/>
          <w:numId w:val="8"/>
        </w:numPr>
        <w:spacing w:line="240" w:lineRule="auto"/>
        <w:jc w:val="both"/>
      </w:pPr>
      <w:r>
        <w:t>výdaje, které zajišťuje odbor hospodářské správy,</w:t>
      </w:r>
    </w:p>
    <w:p w:rsidR="00D5741E" w:rsidRDefault="00D5741E" w:rsidP="00D5741E">
      <w:pPr>
        <w:pStyle w:val="Odstavecseseznamem"/>
        <w:numPr>
          <w:ilvl w:val="0"/>
          <w:numId w:val="8"/>
        </w:numPr>
        <w:spacing w:line="240" w:lineRule="auto"/>
        <w:jc w:val="both"/>
      </w:pPr>
      <w:r>
        <w:t>výdaje zajišťující bezpečnost a pořádek ve městě</w:t>
      </w:r>
    </w:p>
    <w:p w:rsidR="00D5741E" w:rsidRDefault="00D5741E" w:rsidP="00D5741E">
      <w:pPr>
        <w:pStyle w:val="Odstavecseseznamem"/>
        <w:numPr>
          <w:ilvl w:val="0"/>
          <w:numId w:val="8"/>
        </w:numPr>
        <w:spacing w:line="240" w:lineRule="auto"/>
        <w:jc w:val="both"/>
      </w:pPr>
      <w:r>
        <w:t>výdaje související s poskytováním příspěvků zřízeným příspěvkovým organizacím.</w:t>
      </w:r>
    </w:p>
    <w:p w:rsidR="00AE30CF" w:rsidRPr="00AE30CF" w:rsidRDefault="00AE30CF" w:rsidP="00AE30CF">
      <w:pPr>
        <w:jc w:val="both"/>
        <w:rPr>
          <w:b/>
          <w:color w:val="00B0F0"/>
        </w:rPr>
      </w:pPr>
      <w:r w:rsidRPr="00AE30CF">
        <w:rPr>
          <w:b/>
          <w:color w:val="00B0F0"/>
        </w:rPr>
        <w:t>Kapitálové výdaje</w:t>
      </w:r>
    </w:p>
    <w:p w:rsidR="00AE30CF" w:rsidRDefault="000B5F4E" w:rsidP="00370A4C">
      <w:pPr>
        <w:pStyle w:val="Odstavecseseznamem"/>
        <w:numPr>
          <w:ilvl w:val="0"/>
          <w:numId w:val="10"/>
        </w:numPr>
        <w:spacing w:line="240" w:lineRule="auto"/>
        <w:jc w:val="both"/>
      </w:pPr>
      <w:r>
        <w:t>SVR</w:t>
      </w:r>
      <w:r w:rsidR="00AE30CF">
        <w:t xml:space="preserve"> předpokládá nižší objem finančních prostředků v oblasti kapitálových výdajů, a to zejména z důvodu, že příjmová část rozpočtu neobsahuje kapitálové příjmy pro jejich pokrytí. Pokud bude vývoj příjmové části příznivý, tj. pokud bude město příjemcem dotačního titulu, bude možná realizace investičních akcí. Důležité je zajištění finanční spoluúčasti města (prostřednictvím úvěru, krytí přebytkem hospodaření, atd..)</w:t>
      </w:r>
    </w:p>
    <w:p w:rsidR="00AE30CF" w:rsidRDefault="00AE30CF" w:rsidP="00AE30CF">
      <w:pPr>
        <w:spacing w:line="240" w:lineRule="auto"/>
        <w:jc w:val="both"/>
      </w:pPr>
      <w:r>
        <w:t>Bude-li městu přiznána v roce 20</w:t>
      </w:r>
      <w:r w:rsidR="009774BE">
        <w:t>2</w:t>
      </w:r>
      <w:r w:rsidR="00DA760F">
        <w:t>1</w:t>
      </w:r>
      <w:r>
        <w:t xml:space="preserve"> a v následují</w:t>
      </w:r>
      <w:r w:rsidR="009774BE">
        <w:t>cí</w:t>
      </w:r>
      <w:r>
        <w:t xml:space="preserve">ch letech investiční dotace, provede se aktualizace </w:t>
      </w:r>
      <w:r w:rsidR="000B5F4E">
        <w:t>SVR</w:t>
      </w:r>
      <w:r>
        <w:t xml:space="preserve"> s tím, že bude aktualizována i výdajová část, ve které bude zohledněno finanční krytí.</w:t>
      </w:r>
    </w:p>
    <w:p w:rsidR="00AE30CF" w:rsidRPr="007175B5" w:rsidRDefault="007175B5" w:rsidP="007175B5">
      <w:pPr>
        <w:jc w:val="both"/>
        <w:rPr>
          <w:b/>
          <w:color w:val="00B0F0"/>
        </w:rPr>
      </w:pPr>
      <w:r w:rsidRPr="007175B5">
        <w:rPr>
          <w:b/>
          <w:color w:val="00B0F0"/>
        </w:rPr>
        <w:t>Financování</w:t>
      </w:r>
    </w:p>
    <w:p w:rsidR="007175B5" w:rsidRDefault="007175B5" w:rsidP="007175B5">
      <w:pPr>
        <w:pStyle w:val="Odstavecseseznamem"/>
        <w:numPr>
          <w:ilvl w:val="0"/>
          <w:numId w:val="10"/>
        </w:numPr>
      </w:pPr>
      <w:r>
        <w:t>V roce 2014 schválena a přijata Smlouva o úvěru s Českou spořitelnou, a. s. na akci „Snížení energetické náročnosti objektu ZŠ, Opletalova 699 v Benešově nad Ploučnicí“ ve výši 6 mil. Kč. Výše ročních splátek 999 600,00 Kč. Počátek splácení 01/2015, poslední splátka 12/2020.</w:t>
      </w:r>
    </w:p>
    <w:p w:rsidR="007175B5" w:rsidRDefault="007175B5" w:rsidP="00C92068">
      <w:pPr>
        <w:pStyle w:val="Odstavecseseznamem"/>
        <w:jc w:val="both"/>
      </w:pPr>
    </w:p>
    <w:p w:rsidR="007175B5" w:rsidRDefault="007175B5" w:rsidP="00C92068">
      <w:pPr>
        <w:pStyle w:val="Odstavecseseznamem"/>
        <w:numPr>
          <w:ilvl w:val="0"/>
          <w:numId w:val="10"/>
        </w:numPr>
        <w:jc w:val="both"/>
      </w:pPr>
      <w:r>
        <w:t>V roce 2016 schválena a přijata Smlouva o úvěru s KB, a. s. o úvěru na opravy nemovitého majetku města ve výši 6 000 000 Kč. Počátek splácení 01/2017. Výše ročních splátek 1 200 000 Kč. Poslední splátka 1. 12. 2021. Úvěr bude splácen částečně z přijatého nájemného a částečně z přebytků hospodaření minulých let.</w:t>
      </w:r>
    </w:p>
    <w:p w:rsidR="000B5F4E" w:rsidRDefault="000B5F4E" w:rsidP="00C92068">
      <w:pPr>
        <w:pStyle w:val="Odstavecseseznamem"/>
        <w:jc w:val="both"/>
      </w:pPr>
    </w:p>
    <w:p w:rsidR="000B5F4E" w:rsidRDefault="000B5F4E" w:rsidP="00C92068">
      <w:pPr>
        <w:pStyle w:val="Odstavecseseznamem"/>
        <w:numPr>
          <w:ilvl w:val="0"/>
          <w:numId w:val="10"/>
        </w:numPr>
        <w:jc w:val="both"/>
      </w:pPr>
      <w:r>
        <w:t xml:space="preserve">V roce 2017 schválena a přijata Smlouva o úvěru s KB, a. s. o úvěru na akce: </w:t>
      </w:r>
    </w:p>
    <w:p w:rsidR="000B5F4E" w:rsidRDefault="000B5F4E" w:rsidP="00C92068">
      <w:pPr>
        <w:pStyle w:val="Odstavecseseznamem"/>
        <w:jc w:val="both"/>
      </w:pPr>
    </w:p>
    <w:p w:rsidR="000B5F4E" w:rsidRDefault="002F1986" w:rsidP="00C92068">
      <w:pPr>
        <w:pStyle w:val="Odstavecseseznamem"/>
        <w:numPr>
          <w:ilvl w:val="0"/>
          <w:numId w:val="11"/>
        </w:numPr>
        <w:jc w:val="both"/>
      </w:pPr>
      <w:r>
        <w:t xml:space="preserve">rozšíření kapacity budovy </w:t>
      </w:r>
      <w:proofErr w:type="gramStart"/>
      <w:r>
        <w:t>MŠ                          5 </w:t>
      </w:r>
      <w:r w:rsidR="009774BE">
        <w:t>0</w:t>
      </w:r>
      <w:r>
        <w:t>00 000,00</w:t>
      </w:r>
      <w:proofErr w:type="gramEnd"/>
      <w:r>
        <w:t xml:space="preserve"> Kč</w:t>
      </w:r>
    </w:p>
    <w:p w:rsidR="002F1986" w:rsidRDefault="002F1986" w:rsidP="00C92068">
      <w:pPr>
        <w:pStyle w:val="Odstavecseseznamem"/>
        <w:numPr>
          <w:ilvl w:val="0"/>
          <w:numId w:val="11"/>
        </w:numPr>
        <w:jc w:val="both"/>
      </w:pPr>
      <w:r>
        <w:t>rekonstrukce mos</w:t>
      </w:r>
      <w:r w:rsidR="009774BE">
        <w:t xml:space="preserve">tu v ul. </w:t>
      </w:r>
      <w:proofErr w:type="gramStart"/>
      <w:r w:rsidR="009774BE">
        <w:t>Sokolovská            10 0</w:t>
      </w:r>
      <w:r>
        <w:t>00 000,00</w:t>
      </w:r>
      <w:proofErr w:type="gramEnd"/>
      <w:r>
        <w:t xml:space="preserve"> Kč.</w:t>
      </w:r>
    </w:p>
    <w:p w:rsidR="002F1986" w:rsidRDefault="002F1986" w:rsidP="00C92068">
      <w:pPr>
        <w:jc w:val="both"/>
      </w:pPr>
      <w:r>
        <w:t xml:space="preserve"> Počátek splácení 01/2018. Výše ročních </w:t>
      </w:r>
      <w:proofErr w:type="gramStart"/>
      <w:r>
        <w:t>splátek  3 000</w:t>
      </w:r>
      <w:r w:rsidR="00747E74">
        <w:t> </w:t>
      </w:r>
      <w:r>
        <w:t>000</w:t>
      </w:r>
      <w:r w:rsidR="00747E74">
        <w:t>,00</w:t>
      </w:r>
      <w:proofErr w:type="gramEnd"/>
      <w:r>
        <w:t xml:space="preserve"> Kč.  Poslední splátka</w:t>
      </w:r>
      <w:r w:rsidR="00C92068">
        <w:t xml:space="preserve"> </w:t>
      </w:r>
      <w:r w:rsidR="009774BE">
        <w:t>12</w:t>
      </w:r>
      <w:r w:rsidR="00C92068">
        <w:t xml:space="preserve">/2022. </w:t>
      </w:r>
      <w:proofErr w:type="gramStart"/>
      <w:r w:rsidR="00C92068">
        <w:t xml:space="preserve">Úvěr  </w:t>
      </w:r>
      <w:r w:rsidR="00324BA3">
        <w:t xml:space="preserve"> </w:t>
      </w:r>
      <w:r w:rsidR="00C92068">
        <w:t>bude</w:t>
      </w:r>
      <w:proofErr w:type="gramEnd"/>
      <w:r w:rsidR="00C92068">
        <w:t xml:space="preserve"> splácen z přebytků hospodaření minulých let</w:t>
      </w:r>
      <w:r w:rsidR="00747E74">
        <w:t>.</w:t>
      </w:r>
      <w:r w:rsidR="00C92068">
        <w:t xml:space="preserve"> </w:t>
      </w:r>
      <w:r w:rsidR="00747E74">
        <w:t xml:space="preserve"> </w:t>
      </w:r>
    </w:p>
    <w:p w:rsidR="00324BA3" w:rsidRDefault="00324BA3" w:rsidP="00D5741E">
      <w:pPr>
        <w:jc w:val="both"/>
      </w:pPr>
      <w:r w:rsidRPr="00324BA3">
        <w:rPr>
          <w:b/>
        </w:rPr>
        <w:t>Město Benešov nad Ploučnicí dostojí svým současným závazkům.</w:t>
      </w:r>
    </w:p>
    <w:p w:rsidR="007175B5" w:rsidRPr="00DB70A9" w:rsidRDefault="007175B5" w:rsidP="00D5741E">
      <w:pPr>
        <w:jc w:val="both"/>
      </w:pPr>
      <w:r>
        <w:t>Zpracovala: Bc. Lenka Sluková, vedoucí finančního odboru</w:t>
      </w:r>
    </w:p>
    <w:sectPr w:rsidR="007175B5" w:rsidRPr="00DB70A9">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3982" w:rsidRDefault="00073982" w:rsidP="00CB21BF">
      <w:pPr>
        <w:spacing w:after="0" w:line="240" w:lineRule="auto"/>
      </w:pPr>
      <w:r>
        <w:separator/>
      </w:r>
    </w:p>
  </w:endnote>
  <w:endnote w:type="continuationSeparator" w:id="0">
    <w:p w:rsidR="00073982" w:rsidRDefault="00073982" w:rsidP="00CB21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6570155"/>
      <w:docPartObj>
        <w:docPartGallery w:val="Page Numbers (Bottom of Page)"/>
        <w:docPartUnique/>
      </w:docPartObj>
    </w:sdtPr>
    <w:sdtEndPr/>
    <w:sdtContent>
      <w:p w:rsidR="008B5A71" w:rsidRDefault="008B5A71">
        <w:pPr>
          <w:pStyle w:val="Zpat"/>
          <w:jc w:val="center"/>
        </w:pPr>
        <w:r>
          <w:fldChar w:fldCharType="begin"/>
        </w:r>
        <w:r>
          <w:instrText>PAGE   \* MERGEFORMAT</w:instrText>
        </w:r>
        <w:r>
          <w:fldChar w:fldCharType="separate"/>
        </w:r>
        <w:r w:rsidR="00887B57">
          <w:rPr>
            <w:noProof/>
          </w:rPr>
          <w:t>3</w:t>
        </w:r>
        <w:r>
          <w:fldChar w:fldCharType="end"/>
        </w:r>
      </w:p>
    </w:sdtContent>
  </w:sdt>
  <w:p w:rsidR="008B5A71" w:rsidRDefault="008B5A71">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3982" w:rsidRDefault="00073982" w:rsidP="00CB21BF">
      <w:pPr>
        <w:spacing w:after="0" w:line="240" w:lineRule="auto"/>
      </w:pPr>
      <w:r>
        <w:separator/>
      </w:r>
    </w:p>
  </w:footnote>
  <w:footnote w:type="continuationSeparator" w:id="0">
    <w:p w:rsidR="00073982" w:rsidRDefault="00073982" w:rsidP="00CB21BF">
      <w:pPr>
        <w:spacing w:after="0" w:line="240" w:lineRule="auto"/>
      </w:pPr>
      <w:r>
        <w:continuationSeparator/>
      </w:r>
    </w:p>
  </w:footnote>
  <w:footnote w:id="1">
    <w:p w:rsidR="00CB21BF" w:rsidRDefault="00CB21BF">
      <w:pPr>
        <w:pStyle w:val="Textpoznpodarou"/>
      </w:pPr>
      <w:r>
        <w:rPr>
          <w:rStyle w:val="Znakapoznpodarou"/>
        </w:rPr>
        <w:footnoteRef/>
      </w:r>
      <w:r>
        <w:t xml:space="preserve"> Luděk Tesař – CITY FINANCE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5A71" w:rsidRPr="007B32B5" w:rsidRDefault="007B32B5">
    <w:pPr>
      <w:pStyle w:val="Zhlav"/>
      <w:rPr>
        <w:i/>
        <w:sz w:val="16"/>
        <w:szCs w:val="16"/>
      </w:rPr>
    </w:pPr>
    <w:r w:rsidRPr="007B32B5">
      <w:rPr>
        <w:i/>
        <w:sz w:val="16"/>
        <w:szCs w:val="16"/>
      </w:rPr>
      <w:t>Střednědobý výhled rozpočtu na roky 20</w:t>
    </w:r>
    <w:r w:rsidR="00C93283">
      <w:rPr>
        <w:i/>
        <w:sz w:val="16"/>
        <w:szCs w:val="16"/>
      </w:rPr>
      <w:t>21-2022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A57C1"/>
    <w:multiLevelType w:val="hybridMultilevel"/>
    <w:tmpl w:val="9DC4083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11CC7E8B"/>
    <w:multiLevelType w:val="hybridMultilevel"/>
    <w:tmpl w:val="D7D8137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20620BB2"/>
    <w:multiLevelType w:val="hybridMultilevel"/>
    <w:tmpl w:val="E974A7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2ABA637C"/>
    <w:multiLevelType w:val="hybridMultilevel"/>
    <w:tmpl w:val="A58A32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324C59F3"/>
    <w:multiLevelType w:val="hybridMultilevel"/>
    <w:tmpl w:val="01F2E0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39E30757"/>
    <w:multiLevelType w:val="hybridMultilevel"/>
    <w:tmpl w:val="A39C12E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46A57B6A"/>
    <w:multiLevelType w:val="hybridMultilevel"/>
    <w:tmpl w:val="BEC0825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61233416"/>
    <w:multiLevelType w:val="hybridMultilevel"/>
    <w:tmpl w:val="FF2E51B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6C1813C0"/>
    <w:multiLevelType w:val="hybridMultilevel"/>
    <w:tmpl w:val="22AC79A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720D31EC"/>
    <w:multiLevelType w:val="hybridMultilevel"/>
    <w:tmpl w:val="CD56E62A"/>
    <w:lvl w:ilvl="0" w:tplc="0405000B">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0">
    <w:nsid w:val="7FBE01DE"/>
    <w:multiLevelType w:val="hybridMultilevel"/>
    <w:tmpl w:val="B816AC3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7"/>
  </w:num>
  <w:num w:numId="4">
    <w:abstractNumId w:val="1"/>
  </w:num>
  <w:num w:numId="5">
    <w:abstractNumId w:val="3"/>
  </w:num>
  <w:num w:numId="6">
    <w:abstractNumId w:val="0"/>
  </w:num>
  <w:num w:numId="7">
    <w:abstractNumId w:val="2"/>
  </w:num>
  <w:num w:numId="8">
    <w:abstractNumId w:val="10"/>
  </w:num>
  <w:num w:numId="9">
    <w:abstractNumId w:val="8"/>
  </w:num>
  <w:num w:numId="10">
    <w:abstractNumId w:val="4"/>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6927"/>
    <w:rsid w:val="000120D7"/>
    <w:rsid w:val="00071D97"/>
    <w:rsid w:val="00073982"/>
    <w:rsid w:val="000B5F4E"/>
    <w:rsid w:val="000E1CD7"/>
    <w:rsid w:val="00127BB0"/>
    <w:rsid w:val="00137E1D"/>
    <w:rsid w:val="002877C9"/>
    <w:rsid w:val="002F1986"/>
    <w:rsid w:val="00316A2B"/>
    <w:rsid w:val="00324BA3"/>
    <w:rsid w:val="00370A4C"/>
    <w:rsid w:val="00380C92"/>
    <w:rsid w:val="003C2C7C"/>
    <w:rsid w:val="00427408"/>
    <w:rsid w:val="004D1B84"/>
    <w:rsid w:val="004D766D"/>
    <w:rsid w:val="004D7D33"/>
    <w:rsid w:val="005C0ED3"/>
    <w:rsid w:val="00625B73"/>
    <w:rsid w:val="007175B5"/>
    <w:rsid w:val="00747E74"/>
    <w:rsid w:val="007A4FAD"/>
    <w:rsid w:val="007B32B5"/>
    <w:rsid w:val="00836927"/>
    <w:rsid w:val="00887B57"/>
    <w:rsid w:val="008B0DA8"/>
    <w:rsid w:val="008B5A71"/>
    <w:rsid w:val="009774BE"/>
    <w:rsid w:val="009B166B"/>
    <w:rsid w:val="009D291C"/>
    <w:rsid w:val="00A87D5D"/>
    <w:rsid w:val="00AE30CF"/>
    <w:rsid w:val="00B3412E"/>
    <w:rsid w:val="00B77A4B"/>
    <w:rsid w:val="00BB6CA3"/>
    <w:rsid w:val="00C5423D"/>
    <w:rsid w:val="00C72085"/>
    <w:rsid w:val="00C92068"/>
    <w:rsid w:val="00C93283"/>
    <w:rsid w:val="00CB21BF"/>
    <w:rsid w:val="00CB72B6"/>
    <w:rsid w:val="00D25462"/>
    <w:rsid w:val="00D35E02"/>
    <w:rsid w:val="00D52061"/>
    <w:rsid w:val="00D5741E"/>
    <w:rsid w:val="00D70F0B"/>
    <w:rsid w:val="00D85821"/>
    <w:rsid w:val="00D91964"/>
    <w:rsid w:val="00DA760F"/>
    <w:rsid w:val="00DB70A9"/>
    <w:rsid w:val="00DC4A66"/>
    <w:rsid w:val="00DD6D7F"/>
    <w:rsid w:val="00E01A4C"/>
    <w:rsid w:val="00E2528D"/>
    <w:rsid w:val="00EA6768"/>
    <w:rsid w:val="00EC5867"/>
    <w:rsid w:val="00F6499D"/>
    <w:rsid w:val="00F97B6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uiPriority w:val="9"/>
    <w:qFormat/>
    <w:rsid w:val="00B3412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link w:val="Nadpis2Char"/>
    <w:uiPriority w:val="9"/>
    <w:qFormat/>
    <w:rsid w:val="00B3412E"/>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paragraph" w:styleId="Nadpis3">
    <w:name w:val="heading 3"/>
    <w:basedOn w:val="Normln"/>
    <w:next w:val="Normln"/>
    <w:link w:val="Nadpis3Char"/>
    <w:uiPriority w:val="9"/>
    <w:semiHidden/>
    <w:unhideWhenUsed/>
    <w:qFormat/>
    <w:rsid w:val="00B3412E"/>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83692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36927"/>
    <w:rPr>
      <w:rFonts w:ascii="Tahoma" w:hAnsi="Tahoma" w:cs="Tahoma"/>
      <w:sz w:val="16"/>
      <w:szCs w:val="16"/>
    </w:rPr>
  </w:style>
  <w:style w:type="paragraph" w:styleId="Odstavecseseznamem">
    <w:name w:val="List Paragraph"/>
    <w:basedOn w:val="Normln"/>
    <w:uiPriority w:val="34"/>
    <w:qFormat/>
    <w:rsid w:val="00EA6768"/>
    <w:pPr>
      <w:ind w:left="720"/>
      <w:contextualSpacing/>
    </w:pPr>
  </w:style>
  <w:style w:type="paragraph" w:styleId="Textpoznpodarou">
    <w:name w:val="footnote text"/>
    <w:basedOn w:val="Normln"/>
    <w:link w:val="TextpoznpodarouChar"/>
    <w:uiPriority w:val="99"/>
    <w:semiHidden/>
    <w:unhideWhenUsed/>
    <w:rsid w:val="00CB21BF"/>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CB21BF"/>
    <w:rPr>
      <w:sz w:val="20"/>
      <w:szCs w:val="20"/>
    </w:rPr>
  </w:style>
  <w:style w:type="character" w:styleId="Znakapoznpodarou">
    <w:name w:val="footnote reference"/>
    <w:basedOn w:val="Standardnpsmoodstavce"/>
    <w:uiPriority w:val="99"/>
    <w:semiHidden/>
    <w:unhideWhenUsed/>
    <w:rsid w:val="00CB21BF"/>
    <w:rPr>
      <w:vertAlign w:val="superscript"/>
    </w:rPr>
  </w:style>
  <w:style w:type="character" w:customStyle="1" w:styleId="Nadpis2Char">
    <w:name w:val="Nadpis 2 Char"/>
    <w:basedOn w:val="Standardnpsmoodstavce"/>
    <w:link w:val="Nadpis2"/>
    <w:uiPriority w:val="9"/>
    <w:rsid w:val="00B3412E"/>
    <w:rPr>
      <w:rFonts w:ascii="Times New Roman" w:eastAsia="Times New Roman" w:hAnsi="Times New Roman" w:cs="Times New Roman"/>
      <w:b/>
      <w:bCs/>
      <w:sz w:val="36"/>
      <w:szCs w:val="36"/>
      <w:lang w:eastAsia="cs-CZ"/>
    </w:rPr>
  </w:style>
  <w:style w:type="character" w:customStyle="1" w:styleId="Nadpis3Char">
    <w:name w:val="Nadpis 3 Char"/>
    <w:basedOn w:val="Standardnpsmoodstavce"/>
    <w:link w:val="Nadpis3"/>
    <w:uiPriority w:val="9"/>
    <w:semiHidden/>
    <w:rsid w:val="00B3412E"/>
    <w:rPr>
      <w:rFonts w:asciiTheme="majorHAnsi" w:eastAsiaTheme="majorEastAsia" w:hAnsiTheme="majorHAnsi" w:cstheme="majorBidi"/>
      <w:b/>
      <w:bCs/>
      <w:color w:val="4F81BD" w:themeColor="accent1"/>
    </w:rPr>
  </w:style>
  <w:style w:type="character" w:customStyle="1" w:styleId="apple-converted-space">
    <w:name w:val="apple-converted-space"/>
    <w:basedOn w:val="Standardnpsmoodstavce"/>
    <w:rsid w:val="00B3412E"/>
  </w:style>
  <w:style w:type="character" w:styleId="Hypertextovodkaz">
    <w:name w:val="Hyperlink"/>
    <w:basedOn w:val="Standardnpsmoodstavce"/>
    <w:uiPriority w:val="99"/>
    <w:unhideWhenUsed/>
    <w:rsid w:val="00B3412E"/>
    <w:rPr>
      <w:color w:val="0000FF"/>
      <w:u w:val="single"/>
    </w:rPr>
  </w:style>
  <w:style w:type="character" w:customStyle="1" w:styleId="Nadpis1Char">
    <w:name w:val="Nadpis 1 Char"/>
    <w:basedOn w:val="Standardnpsmoodstavce"/>
    <w:link w:val="Nadpis1"/>
    <w:uiPriority w:val="9"/>
    <w:rsid w:val="00B3412E"/>
    <w:rPr>
      <w:rFonts w:asciiTheme="majorHAnsi" w:eastAsiaTheme="majorEastAsia" w:hAnsiTheme="majorHAnsi" w:cstheme="majorBidi"/>
      <w:b/>
      <w:bCs/>
      <w:color w:val="365F91" w:themeColor="accent1" w:themeShade="BF"/>
      <w:sz w:val="28"/>
      <w:szCs w:val="28"/>
    </w:rPr>
  </w:style>
  <w:style w:type="paragraph" w:styleId="Zhlav">
    <w:name w:val="header"/>
    <w:basedOn w:val="Normln"/>
    <w:link w:val="ZhlavChar"/>
    <w:uiPriority w:val="99"/>
    <w:unhideWhenUsed/>
    <w:rsid w:val="008B5A7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B5A71"/>
  </w:style>
  <w:style w:type="paragraph" w:styleId="Zpat">
    <w:name w:val="footer"/>
    <w:basedOn w:val="Normln"/>
    <w:link w:val="ZpatChar"/>
    <w:uiPriority w:val="99"/>
    <w:unhideWhenUsed/>
    <w:rsid w:val="008B5A71"/>
    <w:pPr>
      <w:tabs>
        <w:tab w:val="center" w:pos="4536"/>
        <w:tab w:val="right" w:pos="9072"/>
      </w:tabs>
      <w:spacing w:after="0" w:line="240" w:lineRule="auto"/>
    </w:pPr>
  </w:style>
  <w:style w:type="character" w:customStyle="1" w:styleId="ZpatChar">
    <w:name w:val="Zápatí Char"/>
    <w:basedOn w:val="Standardnpsmoodstavce"/>
    <w:link w:val="Zpat"/>
    <w:uiPriority w:val="99"/>
    <w:rsid w:val="008B5A71"/>
  </w:style>
  <w:style w:type="paragraph" w:customStyle="1" w:styleId="Default">
    <w:name w:val="Default"/>
    <w:rsid w:val="009774BE"/>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uiPriority w:val="9"/>
    <w:qFormat/>
    <w:rsid w:val="00B3412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link w:val="Nadpis2Char"/>
    <w:uiPriority w:val="9"/>
    <w:qFormat/>
    <w:rsid w:val="00B3412E"/>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paragraph" w:styleId="Nadpis3">
    <w:name w:val="heading 3"/>
    <w:basedOn w:val="Normln"/>
    <w:next w:val="Normln"/>
    <w:link w:val="Nadpis3Char"/>
    <w:uiPriority w:val="9"/>
    <w:semiHidden/>
    <w:unhideWhenUsed/>
    <w:qFormat/>
    <w:rsid w:val="00B3412E"/>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83692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36927"/>
    <w:rPr>
      <w:rFonts w:ascii="Tahoma" w:hAnsi="Tahoma" w:cs="Tahoma"/>
      <w:sz w:val="16"/>
      <w:szCs w:val="16"/>
    </w:rPr>
  </w:style>
  <w:style w:type="paragraph" w:styleId="Odstavecseseznamem">
    <w:name w:val="List Paragraph"/>
    <w:basedOn w:val="Normln"/>
    <w:uiPriority w:val="34"/>
    <w:qFormat/>
    <w:rsid w:val="00EA6768"/>
    <w:pPr>
      <w:ind w:left="720"/>
      <w:contextualSpacing/>
    </w:pPr>
  </w:style>
  <w:style w:type="paragraph" w:styleId="Textpoznpodarou">
    <w:name w:val="footnote text"/>
    <w:basedOn w:val="Normln"/>
    <w:link w:val="TextpoznpodarouChar"/>
    <w:uiPriority w:val="99"/>
    <w:semiHidden/>
    <w:unhideWhenUsed/>
    <w:rsid w:val="00CB21BF"/>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CB21BF"/>
    <w:rPr>
      <w:sz w:val="20"/>
      <w:szCs w:val="20"/>
    </w:rPr>
  </w:style>
  <w:style w:type="character" w:styleId="Znakapoznpodarou">
    <w:name w:val="footnote reference"/>
    <w:basedOn w:val="Standardnpsmoodstavce"/>
    <w:uiPriority w:val="99"/>
    <w:semiHidden/>
    <w:unhideWhenUsed/>
    <w:rsid w:val="00CB21BF"/>
    <w:rPr>
      <w:vertAlign w:val="superscript"/>
    </w:rPr>
  </w:style>
  <w:style w:type="character" w:customStyle="1" w:styleId="Nadpis2Char">
    <w:name w:val="Nadpis 2 Char"/>
    <w:basedOn w:val="Standardnpsmoodstavce"/>
    <w:link w:val="Nadpis2"/>
    <w:uiPriority w:val="9"/>
    <w:rsid w:val="00B3412E"/>
    <w:rPr>
      <w:rFonts w:ascii="Times New Roman" w:eastAsia="Times New Roman" w:hAnsi="Times New Roman" w:cs="Times New Roman"/>
      <w:b/>
      <w:bCs/>
      <w:sz w:val="36"/>
      <w:szCs w:val="36"/>
      <w:lang w:eastAsia="cs-CZ"/>
    </w:rPr>
  </w:style>
  <w:style w:type="character" w:customStyle="1" w:styleId="Nadpis3Char">
    <w:name w:val="Nadpis 3 Char"/>
    <w:basedOn w:val="Standardnpsmoodstavce"/>
    <w:link w:val="Nadpis3"/>
    <w:uiPriority w:val="9"/>
    <w:semiHidden/>
    <w:rsid w:val="00B3412E"/>
    <w:rPr>
      <w:rFonts w:asciiTheme="majorHAnsi" w:eastAsiaTheme="majorEastAsia" w:hAnsiTheme="majorHAnsi" w:cstheme="majorBidi"/>
      <w:b/>
      <w:bCs/>
      <w:color w:val="4F81BD" w:themeColor="accent1"/>
    </w:rPr>
  </w:style>
  <w:style w:type="character" w:customStyle="1" w:styleId="apple-converted-space">
    <w:name w:val="apple-converted-space"/>
    <w:basedOn w:val="Standardnpsmoodstavce"/>
    <w:rsid w:val="00B3412E"/>
  </w:style>
  <w:style w:type="character" w:styleId="Hypertextovodkaz">
    <w:name w:val="Hyperlink"/>
    <w:basedOn w:val="Standardnpsmoodstavce"/>
    <w:uiPriority w:val="99"/>
    <w:unhideWhenUsed/>
    <w:rsid w:val="00B3412E"/>
    <w:rPr>
      <w:color w:val="0000FF"/>
      <w:u w:val="single"/>
    </w:rPr>
  </w:style>
  <w:style w:type="character" w:customStyle="1" w:styleId="Nadpis1Char">
    <w:name w:val="Nadpis 1 Char"/>
    <w:basedOn w:val="Standardnpsmoodstavce"/>
    <w:link w:val="Nadpis1"/>
    <w:uiPriority w:val="9"/>
    <w:rsid w:val="00B3412E"/>
    <w:rPr>
      <w:rFonts w:asciiTheme="majorHAnsi" w:eastAsiaTheme="majorEastAsia" w:hAnsiTheme="majorHAnsi" w:cstheme="majorBidi"/>
      <w:b/>
      <w:bCs/>
      <w:color w:val="365F91" w:themeColor="accent1" w:themeShade="BF"/>
      <w:sz w:val="28"/>
      <w:szCs w:val="28"/>
    </w:rPr>
  </w:style>
  <w:style w:type="paragraph" w:styleId="Zhlav">
    <w:name w:val="header"/>
    <w:basedOn w:val="Normln"/>
    <w:link w:val="ZhlavChar"/>
    <w:uiPriority w:val="99"/>
    <w:unhideWhenUsed/>
    <w:rsid w:val="008B5A7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B5A71"/>
  </w:style>
  <w:style w:type="paragraph" w:styleId="Zpat">
    <w:name w:val="footer"/>
    <w:basedOn w:val="Normln"/>
    <w:link w:val="ZpatChar"/>
    <w:uiPriority w:val="99"/>
    <w:unhideWhenUsed/>
    <w:rsid w:val="008B5A71"/>
    <w:pPr>
      <w:tabs>
        <w:tab w:val="center" w:pos="4536"/>
        <w:tab w:val="right" w:pos="9072"/>
      </w:tabs>
      <w:spacing w:after="0" w:line="240" w:lineRule="auto"/>
    </w:pPr>
  </w:style>
  <w:style w:type="character" w:customStyle="1" w:styleId="ZpatChar">
    <w:name w:val="Zápatí Char"/>
    <w:basedOn w:val="Standardnpsmoodstavce"/>
    <w:link w:val="Zpat"/>
    <w:uiPriority w:val="99"/>
    <w:rsid w:val="008B5A71"/>
  </w:style>
  <w:style w:type="paragraph" w:customStyle="1" w:styleId="Default">
    <w:name w:val="Default"/>
    <w:rsid w:val="009774BE"/>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876668">
      <w:bodyDiv w:val="1"/>
      <w:marLeft w:val="0"/>
      <w:marRight w:val="0"/>
      <w:marTop w:val="0"/>
      <w:marBottom w:val="0"/>
      <w:divBdr>
        <w:top w:val="none" w:sz="0" w:space="0" w:color="auto"/>
        <w:left w:val="none" w:sz="0" w:space="0" w:color="auto"/>
        <w:bottom w:val="none" w:sz="0" w:space="0" w:color="auto"/>
        <w:right w:val="none" w:sz="0" w:space="0" w:color="auto"/>
      </w:divBdr>
    </w:div>
    <w:div w:id="330134905">
      <w:bodyDiv w:val="1"/>
      <w:marLeft w:val="0"/>
      <w:marRight w:val="0"/>
      <w:marTop w:val="0"/>
      <w:marBottom w:val="0"/>
      <w:divBdr>
        <w:top w:val="none" w:sz="0" w:space="0" w:color="auto"/>
        <w:left w:val="none" w:sz="0" w:space="0" w:color="auto"/>
        <w:bottom w:val="none" w:sz="0" w:space="0" w:color="auto"/>
        <w:right w:val="none" w:sz="0" w:space="0" w:color="auto"/>
      </w:divBdr>
    </w:div>
    <w:div w:id="416368700">
      <w:bodyDiv w:val="1"/>
      <w:marLeft w:val="0"/>
      <w:marRight w:val="0"/>
      <w:marTop w:val="0"/>
      <w:marBottom w:val="0"/>
      <w:divBdr>
        <w:top w:val="none" w:sz="0" w:space="0" w:color="auto"/>
        <w:left w:val="none" w:sz="0" w:space="0" w:color="auto"/>
        <w:bottom w:val="none" w:sz="0" w:space="0" w:color="auto"/>
        <w:right w:val="none" w:sz="0" w:space="0" w:color="auto"/>
      </w:divBdr>
    </w:div>
    <w:div w:id="505100889">
      <w:bodyDiv w:val="1"/>
      <w:marLeft w:val="0"/>
      <w:marRight w:val="0"/>
      <w:marTop w:val="0"/>
      <w:marBottom w:val="0"/>
      <w:divBdr>
        <w:top w:val="none" w:sz="0" w:space="0" w:color="auto"/>
        <w:left w:val="none" w:sz="0" w:space="0" w:color="auto"/>
        <w:bottom w:val="none" w:sz="0" w:space="0" w:color="auto"/>
        <w:right w:val="none" w:sz="0" w:space="0" w:color="auto"/>
      </w:divBdr>
    </w:div>
    <w:div w:id="1359310484">
      <w:bodyDiv w:val="1"/>
      <w:marLeft w:val="0"/>
      <w:marRight w:val="0"/>
      <w:marTop w:val="0"/>
      <w:marBottom w:val="0"/>
      <w:divBdr>
        <w:top w:val="none" w:sz="0" w:space="0" w:color="auto"/>
        <w:left w:val="none" w:sz="0" w:space="0" w:color="auto"/>
        <w:bottom w:val="none" w:sz="0" w:space="0" w:color="auto"/>
        <w:right w:val="none" w:sz="0" w:space="0" w:color="auto"/>
      </w:divBdr>
    </w:div>
    <w:div w:id="1373269452">
      <w:bodyDiv w:val="1"/>
      <w:marLeft w:val="0"/>
      <w:marRight w:val="0"/>
      <w:marTop w:val="0"/>
      <w:marBottom w:val="0"/>
      <w:divBdr>
        <w:top w:val="none" w:sz="0" w:space="0" w:color="auto"/>
        <w:left w:val="none" w:sz="0" w:space="0" w:color="auto"/>
        <w:bottom w:val="none" w:sz="0" w:space="0" w:color="auto"/>
        <w:right w:val="none" w:sz="0" w:space="0" w:color="auto"/>
      </w:divBdr>
    </w:div>
    <w:div w:id="1390301390">
      <w:bodyDiv w:val="1"/>
      <w:marLeft w:val="0"/>
      <w:marRight w:val="0"/>
      <w:marTop w:val="0"/>
      <w:marBottom w:val="0"/>
      <w:divBdr>
        <w:top w:val="none" w:sz="0" w:space="0" w:color="auto"/>
        <w:left w:val="none" w:sz="0" w:space="0" w:color="auto"/>
        <w:bottom w:val="none" w:sz="0" w:space="0" w:color="auto"/>
        <w:right w:val="none" w:sz="0" w:space="0" w:color="auto"/>
      </w:divBdr>
      <w:divsChild>
        <w:div w:id="1593784463">
          <w:marLeft w:val="0"/>
          <w:marRight w:val="0"/>
          <w:marTop w:val="0"/>
          <w:marBottom w:val="0"/>
          <w:divBdr>
            <w:top w:val="none" w:sz="0" w:space="0" w:color="auto"/>
            <w:left w:val="none" w:sz="0" w:space="0" w:color="auto"/>
            <w:bottom w:val="none" w:sz="0" w:space="0" w:color="auto"/>
            <w:right w:val="none" w:sz="0" w:space="0" w:color="auto"/>
          </w:divBdr>
          <w:divsChild>
            <w:div w:id="1981230319">
              <w:marLeft w:val="0"/>
              <w:marRight w:val="0"/>
              <w:marTop w:val="0"/>
              <w:marBottom w:val="0"/>
              <w:divBdr>
                <w:top w:val="none" w:sz="0" w:space="0" w:color="auto"/>
                <w:left w:val="none" w:sz="0" w:space="0" w:color="auto"/>
                <w:bottom w:val="none" w:sz="0" w:space="0" w:color="auto"/>
                <w:right w:val="none" w:sz="0" w:space="0" w:color="auto"/>
              </w:divBdr>
              <w:divsChild>
                <w:div w:id="978803102">
                  <w:marLeft w:val="0"/>
                  <w:marRight w:val="0"/>
                  <w:marTop w:val="0"/>
                  <w:marBottom w:val="0"/>
                  <w:divBdr>
                    <w:top w:val="none" w:sz="0" w:space="0" w:color="auto"/>
                    <w:left w:val="none" w:sz="0" w:space="0" w:color="auto"/>
                    <w:bottom w:val="none" w:sz="0" w:space="0" w:color="auto"/>
                    <w:right w:val="none" w:sz="0" w:space="0" w:color="auto"/>
                  </w:divBdr>
                </w:div>
                <w:div w:id="633369448">
                  <w:marLeft w:val="0"/>
                  <w:marRight w:val="0"/>
                  <w:marTop w:val="0"/>
                  <w:marBottom w:val="0"/>
                  <w:divBdr>
                    <w:top w:val="none" w:sz="0" w:space="0" w:color="auto"/>
                    <w:left w:val="none" w:sz="0" w:space="0" w:color="auto"/>
                    <w:bottom w:val="none" w:sz="0" w:space="0" w:color="auto"/>
                    <w:right w:val="none" w:sz="0" w:space="0" w:color="auto"/>
                  </w:divBdr>
                </w:div>
                <w:div w:id="2081781068">
                  <w:marLeft w:val="0"/>
                  <w:marRight w:val="0"/>
                  <w:marTop w:val="0"/>
                  <w:marBottom w:val="0"/>
                  <w:divBdr>
                    <w:top w:val="none" w:sz="0" w:space="0" w:color="auto"/>
                    <w:left w:val="none" w:sz="0" w:space="0" w:color="auto"/>
                    <w:bottom w:val="none" w:sz="0" w:space="0" w:color="auto"/>
                    <w:right w:val="none" w:sz="0" w:space="0" w:color="auto"/>
                  </w:divBdr>
                </w:div>
                <w:div w:id="253519693">
                  <w:marLeft w:val="0"/>
                  <w:marRight w:val="0"/>
                  <w:marTop w:val="0"/>
                  <w:marBottom w:val="0"/>
                  <w:divBdr>
                    <w:top w:val="none" w:sz="0" w:space="0" w:color="auto"/>
                    <w:left w:val="none" w:sz="0" w:space="0" w:color="auto"/>
                    <w:bottom w:val="none" w:sz="0" w:space="0" w:color="auto"/>
                    <w:right w:val="none" w:sz="0" w:space="0" w:color="auto"/>
                  </w:divBdr>
                </w:div>
                <w:div w:id="296839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242922">
      <w:bodyDiv w:val="1"/>
      <w:marLeft w:val="0"/>
      <w:marRight w:val="0"/>
      <w:marTop w:val="0"/>
      <w:marBottom w:val="0"/>
      <w:divBdr>
        <w:top w:val="none" w:sz="0" w:space="0" w:color="auto"/>
        <w:left w:val="none" w:sz="0" w:space="0" w:color="auto"/>
        <w:bottom w:val="none" w:sz="0" w:space="0" w:color="auto"/>
        <w:right w:val="none" w:sz="0" w:space="0" w:color="auto"/>
      </w:divBdr>
      <w:divsChild>
        <w:div w:id="2062433666">
          <w:marLeft w:val="0"/>
          <w:marRight w:val="0"/>
          <w:marTop w:val="0"/>
          <w:marBottom w:val="0"/>
          <w:divBdr>
            <w:top w:val="none" w:sz="0" w:space="0" w:color="auto"/>
            <w:left w:val="none" w:sz="0" w:space="0" w:color="auto"/>
            <w:bottom w:val="none" w:sz="0" w:space="0" w:color="auto"/>
            <w:right w:val="none" w:sz="0" w:space="0" w:color="auto"/>
          </w:divBdr>
          <w:divsChild>
            <w:div w:id="919486892">
              <w:marLeft w:val="0"/>
              <w:marRight w:val="0"/>
              <w:marTop w:val="0"/>
              <w:marBottom w:val="0"/>
              <w:divBdr>
                <w:top w:val="none" w:sz="0" w:space="0" w:color="auto"/>
                <w:left w:val="none" w:sz="0" w:space="0" w:color="auto"/>
                <w:bottom w:val="none" w:sz="0" w:space="0" w:color="auto"/>
                <w:right w:val="none" w:sz="0" w:space="0" w:color="auto"/>
              </w:divBdr>
            </w:div>
          </w:divsChild>
        </w:div>
        <w:div w:id="818351524">
          <w:marLeft w:val="0"/>
          <w:marRight w:val="0"/>
          <w:marTop w:val="0"/>
          <w:marBottom w:val="0"/>
          <w:divBdr>
            <w:top w:val="none" w:sz="0" w:space="0" w:color="auto"/>
            <w:left w:val="none" w:sz="0" w:space="0" w:color="auto"/>
            <w:bottom w:val="none" w:sz="0" w:space="0" w:color="auto"/>
            <w:right w:val="none" w:sz="0" w:space="0" w:color="auto"/>
          </w:divBdr>
        </w:div>
      </w:divsChild>
    </w:div>
    <w:div w:id="1501308837">
      <w:bodyDiv w:val="1"/>
      <w:marLeft w:val="0"/>
      <w:marRight w:val="0"/>
      <w:marTop w:val="0"/>
      <w:marBottom w:val="0"/>
      <w:divBdr>
        <w:top w:val="none" w:sz="0" w:space="0" w:color="auto"/>
        <w:left w:val="none" w:sz="0" w:space="0" w:color="auto"/>
        <w:bottom w:val="none" w:sz="0" w:space="0" w:color="auto"/>
        <w:right w:val="none" w:sz="0" w:space="0" w:color="auto"/>
      </w:divBdr>
    </w:div>
    <w:div w:id="1598635991">
      <w:bodyDiv w:val="1"/>
      <w:marLeft w:val="0"/>
      <w:marRight w:val="0"/>
      <w:marTop w:val="0"/>
      <w:marBottom w:val="0"/>
      <w:divBdr>
        <w:top w:val="none" w:sz="0" w:space="0" w:color="auto"/>
        <w:left w:val="none" w:sz="0" w:space="0" w:color="auto"/>
        <w:bottom w:val="none" w:sz="0" w:space="0" w:color="auto"/>
        <w:right w:val="none" w:sz="0" w:space="0" w:color="auto"/>
      </w:divBdr>
    </w:div>
    <w:div w:id="2030183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BE859E-E15D-42D5-AF2A-6735A0CE2B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5</Pages>
  <Words>1093</Words>
  <Characters>6455</Characters>
  <Application>Microsoft Office Word</Application>
  <DocSecurity>0</DocSecurity>
  <Lines>53</Lines>
  <Paragraphs>15</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7533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slukova</dc:creator>
  <cp:lastModifiedBy>Lenka Sluková</cp:lastModifiedBy>
  <cp:revision>8</cp:revision>
  <cp:lastPrinted>2019-11-14T07:39:00Z</cp:lastPrinted>
  <dcterms:created xsi:type="dcterms:W3CDTF">2019-11-13T19:25:00Z</dcterms:created>
  <dcterms:modified xsi:type="dcterms:W3CDTF">2020-01-08T07:54:00Z</dcterms:modified>
</cp:coreProperties>
</file>