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71" w:rsidRDefault="008B5A71"/>
    <w:p w:rsidR="008B5A71" w:rsidRDefault="008B5A71"/>
    <w:p w:rsidR="00316A2B" w:rsidRDefault="00836927" w:rsidP="007B32B5">
      <w:pPr>
        <w:jc w:val="center"/>
      </w:pPr>
      <w:r>
        <w:rPr>
          <w:noProof/>
          <w:lang w:eastAsia="cs-CZ"/>
        </w:rPr>
        <w:drawing>
          <wp:inline distT="0" distB="0" distL="0" distR="0" wp14:anchorId="30FEA60A" wp14:editId="34349EB5">
            <wp:extent cx="4524375" cy="3086100"/>
            <wp:effectExtent l="0" t="0" r="9525" b="0"/>
            <wp:docPr id="1" name="Obrázek 1" descr="C:\Users\slukova\Desktop\11430150_999065066778459_689102151846433392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ukova\Desktop\11430150_999065066778459_6891021518464333924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2880" cy="3085080"/>
                    </a:xfrm>
                    <a:prstGeom prst="rect">
                      <a:avLst/>
                    </a:prstGeom>
                    <a:noFill/>
                    <a:ln>
                      <a:noFill/>
                    </a:ln>
                  </pic:spPr>
                </pic:pic>
              </a:graphicData>
            </a:graphic>
          </wp:inline>
        </w:drawing>
      </w:r>
    </w:p>
    <w:p w:rsidR="00836927" w:rsidRDefault="00836927"/>
    <w:p w:rsidR="00836927" w:rsidRDefault="00836927"/>
    <w:p w:rsidR="00D52061" w:rsidRPr="00D52061" w:rsidRDefault="00127BB0" w:rsidP="00D52061">
      <w:pPr>
        <w:tabs>
          <w:tab w:val="left" w:pos="520"/>
        </w:tabs>
        <w:spacing w:line="240" w:lineRule="auto"/>
        <w:jc w:val="center"/>
        <w:rPr>
          <w:b/>
          <w:sz w:val="28"/>
          <w:szCs w:val="28"/>
        </w:rPr>
      </w:pPr>
      <w:r>
        <w:rPr>
          <w:b/>
          <w:sz w:val="28"/>
          <w:szCs w:val="28"/>
        </w:rPr>
        <w:t xml:space="preserve">Střednědobý </w:t>
      </w:r>
      <w:r w:rsidR="007B32B5">
        <w:rPr>
          <w:b/>
          <w:sz w:val="28"/>
          <w:szCs w:val="28"/>
        </w:rPr>
        <w:t>výhled rozpočtu</w:t>
      </w:r>
      <w:r w:rsidR="00D52061" w:rsidRPr="00D52061">
        <w:rPr>
          <w:b/>
          <w:sz w:val="28"/>
          <w:szCs w:val="28"/>
        </w:rPr>
        <w:t xml:space="preserve"> na roky 20</w:t>
      </w:r>
      <w:r w:rsidR="00C93283">
        <w:rPr>
          <w:b/>
          <w:sz w:val="28"/>
          <w:szCs w:val="28"/>
        </w:rPr>
        <w:t>21</w:t>
      </w:r>
      <w:r w:rsidR="00D52061" w:rsidRPr="00D52061">
        <w:rPr>
          <w:b/>
          <w:sz w:val="28"/>
          <w:szCs w:val="28"/>
        </w:rPr>
        <w:t xml:space="preserve"> - 20</w:t>
      </w:r>
      <w:r w:rsidR="007B32B5">
        <w:rPr>
          <w:b/>
          <w:sz w:val="28"/>
          <w:szCs w:val="28"/>
        </w:rPr>
        <w:t>2</w:t>
      </w:r>
      <w:r w:rsidR="00C93283">
        <w:rPr>
          <w:b/>
          <w:sz w:val="28"/>
          <w:szCs w:val="28"/>
        </w:rPr>
        <w:t>2</w:t>
      </w:r>
    </w:p>
    <w:p w:rsidR="00D52061" w:rsidRDefault="00D52061"/>
    <w:p w:rsidR="00836927" w:rsidRDefault="00836927" w:rsidP="00836927">
      <w:pPr>
        <w:tabs>
          <w:tab w:val="left" w:pos="520"/>
        </w:tabs>
        <w:spacing w:line="240" w:lineRule="auto"/>
        <w:rPr>
          <w:b/>
          <w:sz w:val="24"/>
          <w:szCs w:val="24"/>
        </w:rPr>
      </w:pPr>
      <w:r>
        <w:rPr>
          <w:b/>
          <w:sz w:val="24"/>
          <w:szCs w:val="24"/>
        </w:rPr>
        <w:t>Projednáno</w:t>
      </w:r>
    </w:p>
    <w:p w:rsidR="00836927" w:rsidRDefault="00836927" w:rsidP="00836927">
      <w:pPr>
        <w:tabs>
          <w:tab w:val="left" w:pos="520"/>
        </w:tabs>
        <w:spacing w:line="240" w:lineRule="auto"/>
        <w:rPr>
          <w:b/>
          <w:sz w:val="24"/>
          <w:szCs w:val="24"/>
        </w:rPr>
      </w:pPr>
      <w:r>
        <w:rPr>
          <w:b/>
          <w:sz w:val="24"/>
          <w:szCs w:val="24"/>
        </w:rPr>
        <w:t xml:space="preserve">radou </w:t>
      </w:r>
      <w:proofErr w:type="gramStart"/>
      <w:r>
        <w:rPr>
          <w:b/>
          <w:sz w:val="24"/>
          <w:szCs w:val="24"/>
        </w:rPr>
        <w:t>města                                            dne</w:t>
      </w:r>
      <w:proofErr w:type="gramEnd"/>
      <w:r>
        <w:rPr>
          <w:b/>
          <w:sz w:val="24"/>
          <w:szCs w:val="24"/>
        </w:rPr>
        <w:t xml:space="preserve">:  </w:t>
      </w:r>
      <w:r w:rsidR="005C0ED3">
        <w:rPr>
          <w:b/>
          <w:sz w:val="24"/>
          <w:szCs w:val="24"/>
        </w:rPr>
        <w:t>18. 11. 2019</w:t>
      </w:r>
      <w:r w:rsidR="007B32B5">
        <w:rPr>
          <w:b/>
          <w:sz w:val="24"/>
          <w:szCs w:val="24"/>
        </w:rPr>
        <w:t xml:space="preserve"> </w:t>
      </w:r>
      <w:r w:rsidR="009774BE">
        <w:rPr>
          <w:b/>
          <w:sz w:val="24"/>
          <w:szCs w:val="24"/>
        </w:rPr>
        <w:t xml:space="preserve">  </w:t>
      </w:r>
      <w:r w:rsidR="00C93283">
        <w:rPr>
          <w:b/>
          <w:sz w:val="24"/>
          <w:szCs w:val="24"/>
        </w:rPr>
        <w:t xml:space="preserve">          </w:t>
      </w:r>
      <w:r w:rsidR="009B166B">
        <w:rPr>
          <w:b/>
          <w:sz w:val="24"/>
          <w:szCs w:val="24"/>
        </w:rPr>
        <w:t xml:space="preserve">  </w:t>
      </w:r>
      <w:proofErr w:type="spellStart"/>
      <w:r w:rsidR="009B166B">
        <w:rPr>
          <w:b/>
          <w:sz w:val="24"/>
          <w:szCs w:val="24"/>
        </w:rPr>
        <w:t>us</w:t>
      </w:r>
      <w:proofErr w:type="spellEnd"/>
      <w:r w:rsidR="009B166B">
        <w:rPr>
          <w:b/>
          <w:sz w:val="24"/>
          <w:szCs w:val="24"/>
        </w:rPr>
        <w:t xml:space="preserve">. </w:t>
      </w:r>
      <w:proofErr w:type="gramStart"/>
      <w:r w:rsidR="009B166B">
        <w:rPr>
          <w:b/>
          <w:sz w:val="24"/>
          <w:szCs w:val="24"/>
        </w:rPr>
        <w:t>č.</w:t>
      </w:r>
      <w:proofErr w:type="gramEnd"/>
      <w:r w:rsidR="005C0ED3">
        <w:rPr>
          <w:b/>
          <w:sz w:val="24"/>
          <w:szCs w:val="24"/>
        </w:rPr>
        <w:t xml:space="preserve"> 470/19</w:t>
      </w:r>
      <w:r w:rsidR="009B166B">
        <w:rPr>
          <w:b/>
          <w:sz w:val="24"/>
          <w:szCs w:val="24"/>
        </w:rPr>
        <w:t xml:space="preserve"> </w:t>
      </w:r>
    </w:p>
    <w:p w:rsidR="00836927" w:rsidRDefault="00836927" w:rsidP="00836927">
      <w:pPr>
        <w:tabs>
          <w:tab w:val="left" w:pos="520"/>
        </w:tabs>
        <w:spacing w:line="240" w:lineRule="auto"/>
        <w:rPr>
          <w:b/>
          <w:sz w:val="24"/>
          <w:szCs w:val="24"/>
        </w:rPr>
      </w:pPr>
      <w:r>
        <w:rPr>
          <w:b/>
          <w:sz w:val="24"/>
          <w:szCs w:val="24"/>
        </w:rPr>
        <w:t xml:space="preserve">zastupitelstvem </w:t>
      </w:r>
      <w:proofErr w:type="gramStart"/>
      <w:r>
        <w:rPr>
          <w:b/>
          <w:sz w:val="24"/>
          <w:szCs w:val="24"/>
        </w:rPr>
        <w:t>města                          dne</w:t>
      </w:r>
      <w:proofErr w:type="gramEnd"/>
      <w:r>
        <w:rPr>
          <w:b/>
          <w:sz w:val="24"/>
          <w:szCs w:val="24"/>
        </w:rPr>
        <w:t xml:space="preserve">:  </w:t>
      </w:r>
      <w:r w:rsidR="00127BB0">
        <w:rPr>
          <w:b/>
          <w:sz w:val="24"/>
          <w:szCs w:val="24"/>
        </w:rPr>
        <w:t xml:space="preserve">11. </w:t>
      </w:r>
      <w:proofErr w:type="gramStart"/>
      <w:r w:rsidR="00127BB0">
        <w:rPr>
          <w:b/>
          <w:sz w:val="24"/>
          <w:szCs w:val="24"/>
        </w:rPr>
        <w:t>12</w:t>
      </w:r>
      <w:proofErr w:type="gramEnd"/>
      <w:r w:rsidR="00127BB0">
        <w:rPr>
          <w:b/>
          <w:sz w:val="24"/>
          <w:szCs w:val="24"/>
        </w:rPr>
        <w:t xml:space="preserve"> .</w:t>
      </w:r>
      <w:proofErr w:type="gramStart"/>
      <w:r w:rsidR="00127BB0">
        <w:rPr>
          <w:b/>
          <w:sz w:val="24"/>
          <w:szCs w:val="24"/>
        </w:rPr>
        <w:t>2019</w:t>
      </w:r>
      <w:proofErr w:type="gramEnd"/>
      <w:r w:rsidR="007B32B5">
        <w:rPr>
          <w:b/>
          <w:sz w:val="24"/>
          <w:szCs w:val="24"/>
        </w:rPr>
        <w:t xml:space="preserve"> </w:t>
      </w:r>
      <w:r w:rsidR="009774BE">
        <w:rPr>
          <w:b/>
          <w:sz w:val="24"/>
          <w:szCs w:val="24"/>
        </w:rPr>
        <w:t xml:space="preserve"> </w:t>
      </w:r>
      <w:r w:rsidR="009B166B">
        <w:rPr>
          <w:b/>
          <w:sz w:val="24"/>
          <w:szCs w:val="24"/>
        </w:rPr>
        <w:t xml:space="preserve">  </w:t>
      </w:r>
      <w:r w:rsidR="00127BB0">
        <w:rPr>
          <w:b/>
          <w:sz w:val="24"/>
          <w:szCs w:val="24"/>
        </w:rPr>
        <w:t xml:space="preserve">           us.č.72/2019</w:t>
      </w:r>
    </w:p>
    <w:p w:rsidR="00836927" w:rsidRDefault="00836927" w:rsidP="00836927">
      <w:pPr>
        <w:tabs>
          <w:tab w:val="left" w:pos="520"/>
        </w:tabs>
        <w:spacing w:line="240" w:lineRule="auto"/>
        <w:rPr>
          <w:b/>
          <w:sz w:val="24"/>
          <w:szCs w:val="24"/>
        </w:rPr>
      </w:pPr>
    </w:p>
    <w:p w:rsidR="00836927" w:rsidRDefault="00836927" w:rsidP="00836927">
      <w:pPr>
        <w:tabs>
          <w:tab w:val="left" w:pos="520"/>
        </w:tabs>
        <w:spacing w:line="240" w:lineRule="auto"/>
        <w:rPr>
          <w:b/>
          <w:sz w:val="24"/>
          <w:szCs w:val="24"/>
        </w:rPr>
      </w:pPr>
      <w:r>
        <w:rPr>
          <w:b/>
          <w:sz w:val="24"/>
          <w:szCs w:val="24"/>
        </w:rPr>
        <w:t>Zpracoval:  Bc. Lenka Sluková – vedoucí finančního odboru</w:t>
      </w:r>
    </w:p>
    <w:p w:rsidR="00836927" w:rsidRDefault="00836927" w:rsidP="00836927">
      <w:pPr>
        <w:tabs>
          <w:tab w:val="left" w:pos="520"/>
        </w:tabs>
        <w:spacing w:line="240" w:lineRule="auto"/>
        <w:rPr>
          <w:b/>
          <w:sz w:val="24"/>
          <w:szCs w:val="24"/>
        </w:rPr>
      </w:pPr>
    </w:p>
    <w:p w:rsidR="00836927" w:rsidRDefault="00836927" w:rsidP="00836927">
      <w:pPr>
        <w:tabs>
          <w:tab w:val="left" w:pos="520"/>
        </w:tabs>
        <w:spacing w:line="240" w:lineRule="auto"/>
        <w:rPr>
          <w:b/>
          <w:sz w:val="24"/>
          <w:szCs w:val="24"/>
        </w:rPr>
      </w:pPr>
      <w:r>
        <w:rPr>
          <w:b/>
          <w:sz w:val="24"/>
          <w:szCs w:val="24"/>
        </w:rPr>
        <w:t xml:space="preserve">Zveřejněno dne:  </w:t>
      </w:r>
      <w:r w:rsidR="00C93283">
        <w:rPr>
          <w:b/>
          <w:sz w:val="24"/>
          <w:szCs w:val="24"/>
        </w:rPr>
        <w:t xml:space="preserve"> </w:t>
      </w:r>
      <w:r>
        <w:rPr>
          <w:b/>
          <w:sz w:val="24"/>
          <w:szCs w:val="24"/>
        </w:rPr>
        <w:t xml:space="preserve">   </w:t>
      </w:r>
      <w:r w:rsidR="007B32B5">
        <w:rPr>
          <w:b/>
          <w:sz w:val="24"/>
          <w:szCs w:val="24"/>
        </w:rPr>
        <w:t xml:space="preserve"> </w:t>
      </w:r>
      <w:r w:rsidR="009774BE">
        <w:rPr>
          <w:b/>
          <w:sz w:val="24"/>
          <w:szCs w:val="24"/>
        </w:rPr>
        <w:t xml:space="preserve"> </w:t>
      </w:r>
      <w:r>
        <w:rPr>
          <w:b/>
          <w:sz w:val="24"/>
          <w:szCs w:val="24"/>
        </w:rPr>
        <w:t xml:space="preserve">  </w:t>
      </w:r>
      <w:r w:rsidR="00887B57">
        <w:rPr>
          <w:b/>
          <w:sz w:val="24"/>
          <w:szCs w:val="24"/>
        </w:rPr>
        <w:t>15.11.2019</w:t>
      </w:r>
      <w:r>
        <w:rPr>
          <w:b/>
          <w:sz w:val="24"/>
          <w:szCs w:val="24"/>
        </w:rPr>
        <w:t xml:space="preserve">              </w:t>
      </w:r>
      <w:bookmarkStart w:id="0" w:name="_GoBack"/>
      <w:bookmarkEnd w:id="0"/>
      <w:r>
        <w:rPr>
          <w:b/>
          <w:sz w:val="24"/>
          <w:szCs w:val="24"/>
        </w:rPr>
        <w:t xml:space="preserve">    </w:t>
      </w:r>
      <w:r w:rsidR="003C2C7C">
        <w:rPr>
          <w:b/>
          <w:sz w:val="24"/>
          <w:szCs w:val="24"/>
        </w:rPr>
        <w:t xml:space="preserve">                            </w:t>
      </w:r>
      <w:r>
        <w:rPr>
          <w:b/>
          <w:sz w:val="24"/>
          <w:szCs w:val="24"/>
        </w:rPr>
        <w:t xml:space="preserve">        Sejmuto dne:    </w:t>
      </w:r>
      <w:r w:rsidR="009774BE">
        <w:rPr>
          <w:b/>
          <w:sz w:val="24"/>
          <w:szCs w:val="24"/>
        </w:rPr>
        <w:t xml:space="preserve"> </w:t>
      </w:r>
      <w:r w:rsidR="007B32B5">
        <w:rPr>
          <w:b/>
          <w:sz w:val="24"/>
          <w:szCs w:val="24"/>
        </w:rPr>
        <w:t xml:space="preserve"> </w:t>
      </w:r>
      <w:r w:rsidR="00C93283">
        <w:rPr>
          <w:b/>
          <w:sz w:val="24"/>
          <w:szCs w:val="24"/>
        </w:rPr>
        <w:t xml:space="preserve"> </w:t>
      </w:r>
      <w:r w:rsidR="00887B57">
        <w:rPr>
          <w:b/>
          <w:sz w:val="24"/>
          <w:szCs w:val="24"/>
        </w:rPr>
        <w:t>11.12.2019</w:t>
      </w:r>
    </w:p>
    <w:p w:rsidR="00836927" w:rsidRDefault="00836927" w:rsidP="00836927">
      <w:pPr>
        <w:tabs>
          <w:tab w:val="left" w:pos="520"/>
        </w:tabs>
        <w:spacing w:line="240" w:lineRule="auto"/>
        <w:rPr>
          <w:b/>
          <w:sz w:val="24"/>
          <w:szCs w:val="24"/>
        </w:rPr>
      </w:pPr>
      <w:r>
        <w:rPr>
          <w:b/>
          <w:sz w:val="24"/>
          <w:szCs w:val="24"/>
        </w:rPr>
        <w:t xml:space="preserve">Schváleno dne:  </w:t>
      </w:r>
      <w:r w:rsidR="00C93283">
        <w:rPr>
          <w:b/>
          <w:sz w:val="24"/>
          <w:szCs w:val="24"/>
        </w:rPr>
        <w:t xml:space="preserve"> </w:t>
      </w:r>
      <w:r>
        <w:rPr>
          <w:b/>
          <w:sz w:val="24"/>
          <w:szCs w:val="24"/>
        </w:rPr>
        <w:t xml:space="preserve">    </w:t>
      </w:r>
      <w:r w:rsidR="009774BE">
        <w:rPr>
          <w:b/>
          <w:sz w:val="24"/>
          <w:szCs w:val="24"/>
        </w:rPr>
        <w:t xml:space="preserve"> </w:t>
      </w:r>
      <w:r w:rsidR="00127BB0">
        <w:rPr>
          <w:b/>
          <w:sz w:val="24"/>
          <w:szCs w:val="24"/>
        </w:rPr>
        <w:t>11. 12. 2019</w:t>
      </w:r>
      <w:r>
        <w:rPr>
          <w:b/>
          <w:sz w:val="24"/>
          <w:szCs w:val="24"/>
        </w:rPr>
        <w:t xml:space="preserve"> </w:t>
      </w:r>
      <w:r w:rsidR="007B32B5">
        <w:rPr>
          <w:b/>
          <w:sz w:val="24"/>
          <w:szCs w:val="24"/>
        </w:rPr>
        <w:t xml:space="preserve"> </w:t>
      </w:r>
    </w:p>
    <w:p w:rsidR="00836927" w:rsidRDefault="00836927" w:rsidP="00836927">
      <w:pPr>
        <w:tabs>
          <w:tab w:val="left" w:pos="520"/>
        </w:tabs>
        <w:spacing w:line="240" w:lineRule="auto"/>
        <w:rPr>
          <w:b/>
          <w:sz w:val="24"/>
          <w:szCs w:val="24"/>
        </w:rPr>
      </w:pPr>
      <w:r>
        <w:rPr>
          <w:b/>
          <w:sz w:val="24"/>
          <w:szCs w:val="24"/>
        </w:rPr>
        <w:t xml:space="preserve">Usnesení zastupitelstva města č. </w:t>
      </w:r>
      <w:r w:rsidR="007B32B5">
        <w:rPr>
          <w:b/>
          <w:sz w:val="24"/>
          <w:szCs w:val="24"/>
        </w:rPr>
        <w:t xml:space="preserve"> </w:t>
      </w:r>
      <w:r w:rsidR="009774BE">
        <w:rPr>
          <w:b/>
          <w:sz w:val="24"/>
          <w:szCs w:val="24"/>
        </w:rPr>
        <w:t xml:space="preserve"> </w:t>
      </w:r>
      <w:r w:rsidR="00C93283">
        <w:rPr>
          <w:b/>
          <w:sz w:val="24"/>
          <w:szCs w:val="24"/>
        </w:rPr>
        <w:t xml:space="preserve"> </w:t>
      </w:r>
      <w:r w:rsidR="00127BB0">
        <w:rPr>
          <w:b/>
          <w:sz w:val="24"/>
          <w:szCs w:val="24"/>
        </w:rPr>
        <w:t>72/2019</w:t>
      </w:r>
    </w:p>
    <w:p w:rsidR="00836927" w:rsidRDefault="00F6499D" w:rsidP="00625B73">
      <w:pPr>
        <w:jc w:val="both"/>
      </w:pPr>
      <w:r>
        <w:t xml:space="preserve"> </w:t>
      </w:r>
    </w:p>
    <w:p w:rsidR="00F6499D" w:rsidRDefault="00F6499D" w:rsidP="00625B73">
      <w:pPr>
        <w:jc w:val="both"/>
      </w:pPr>
    </w:p>
    <w:p w:rsidR="00836927" w:rsidRDefault="00836927"/>
    <w:p w:rsidR="000B5F4E" w:rsidRPr="000B5F4E" w:rsidRDefault="000B5F4E">
      <w:pPr>
        <w:rPr>
          <w:b/>
          <w:sz w:val="28"/>
          <w:szCs w:val="28"/>
        </w:rPr>
      </w:pPr>
      <w:r w:rsidRPr="000B5F4E">
        <w:rPr>
          <w:b/>
          <w:sz w:val="28"/>
          <w:szCs w:val="28"/>
        </w:rPr>
        <w:lastRenderedPageBreak/>
        <w:t>Střednědobý výhled rozpočtu na roky 20</w:t>
      </w:r>
      <w:r w:rsidR="009774BE">
        <w:rPr>
          <w:b/>
          <w:sz w:val="28"/>
          <w:szCs w:val="28"/>
        </w:rPr>
        <w:t>2</w:t>
      </w:r>
      <w:r w:rsidR="00C93283">
        <w:rPr>
          <w:b/>
          <w:sz w:val="28"/>
          <w:szCs w:val="28"/>
        </w:rPr>
        <w:t>1</w:t>
      </w:r>
      <w:r w:rsidRPr="000B5F4E">
        <w:rPr>
          <w:b/>
          <w:sz w:val="28"/>
          <w:szCs w:val="28"/>
        </w:rPr>
        <w:t>-202</w:t>
      </w:r>
      <w:r w:rsidR="00C93283">
        <w:rPr>
          <w:b/>
          <w:sz w:val="28"/>
          <w:szCs w:val="28"/>
        </w:rPr>
        <w:t>2</w:t>
      </w:r>
      <w:r w:rsidRPr="000B5F4E">
        <w:rPr>
          <w:b/>
          <w:sz w:val="28"/>
          <w:szCs w:val="28"/>
        </w:rPr>
        <w:t xml:space="preserve"> </w:t>
      </w:r>
    </w:p>
    <w:p w:rsidR="00836927" w:rsidRDefault="000B5F4E">
      <w:r>
        <w:t xml:space="preserve"> informace podle zákona č. 250/2000 Sb., §3, v tis Kč</w:t>
      </w:r>
    </w:p>
    <w:tbl>
      <w:tblPr>
        <w:tblW w:w="9300" w:type="dxa"/>
        <w:tblInd w:w="55" w:type="dxa"/>
        <w:tblCellMar>
          <w:left w:w="70" w:type="dxa"/>
          <w:right w:w="70" w:type="dxa"/>
        </w:tblCellMar>
        <w:tblLook w:val="04A0" w:firstRow="1" w:lastRow="0" w:firstColumn="1" w:lastColumn="0" w:noHBand="0" w:noVBand="1"/>
      </w:tblPr>
      <w:tblGrid>
        <w:gridCol w:w="2440"/>
        <w:gridCol w:w="4120"/>
        <w:gridCol w:w="1420"/>
        <w:gridCol w:w="1320"/>
      </w:tblGrid>
      <w:tr w:rsidR="00E2528D" w:rsidRPr="00E2528D" w:rsidTr="00E2528D">
        <w:trPr>
          <w:trHeight w:val="390"/>
        </w:trPr>
        <w:tc>
          <w:tcPr>
            <w:tcW w:w="2440"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rsidR="00E2528D" w:rsidRPr="00E2528D" w:rsidRDefault="00E2528D" w:rsidP="00E2528D">
            <w:pPr>
              <w:spacing w:after="0" w:line="240" w:lineRule="auto"/>
              <w:rPr>
                <w:rFonts w:ascii="Calibri" w:eastAsia="Times New Roman" w:hAnsi="Calibri" w:cs="Calibri"/>
                <w:b/>
                <w:bCs/>
                <w:color w:val="000000"/>
                <w:sz w:val="28"/>
                <w:szCs w:val="28"/>
                <w:lang w:eastAsia="cs-CZ"/>
              </w:rPr>
            </w:pPr>
            <w:r w:rsidRPr="00E2528D">
              <w:rPr>
                <w:rFonts w:ascii="Calibri" w:eastAsia="Times New Roman" w:hAnsi="Calibri" w:cs="Calibri"/>
                <w:b/>
                <w:bCs/>
                <w:color w:val="000000"/>
                <w:sz w:val="28"/>
                <w:szCs w:val="28"/>
                <w:lang w:eastAsia="cs-CZ"/>
              </w:rPr>
              <w:t xml:space="preserve">Střednědobý výhled rozpočtu - </w:t>
            </w:r>
            <w:r w:rsidRPr="00E2528D">
              <w:rPr>
                <w:rFonts w:ascii="Calibri" w:eastAsia="Times New Roman" w:hAnsi="Calibri" w:cs="Calibri"/>
                <w:b/>
                <w:bCs/>
                <w:color w:val="000000"/>
                <w:sz w:val="18"/>
                <w:szCs w:val="18"/>
                <w:lang w:eastAsia="cs-CZ"/>
              </w:rPr>
              <w:t xml:space="preserve">informace podle zákona č. 250/2000 Sb. §3 v </w:t>
            </w:r>
            <w:proofErr w:type="spellStart"/>
            <w:proofErr w:type="gramStart"/>
            <w:r w:rsidRPr="00E2528D">
              <w:rPr>
                <w:rFonts w:ascii="Calibri" w:eastAsia="Times New Roman" w:hAnsi="Calibri" w:cs="Calibri"/>
                <w:b/>
                <w:bCs/>
                <w:color w:val="000000"/>
                <w:sz w:val="18"/>
                <w:szCs w:val="18"/>
                <w:lang w:eastAsia="cs-CZ"/>
              </w:rPr>
              <w:t>tis.Kč</w:t>
            </w:r>
            <w:proofErr w:type="spellEnd"/>
            <w:proofErr w:type="gramEnd"/>
            <w:r w:rsidRPr="00E2528D">
              <w:rPr>
                <w:rFonts w:ascii="Calibri" w:eastAsia="Times New Roman" w:hAnsi="Calibri" w:cs="Calibri"/>
                <w:b/>
                <w:bCs/>
                <w:color w:val="000000"/>
                <w:sz w:val="18"/>
                <w:szCs w:val="18"/>
                <w:lang w:eastAsia="cs-CZ"/>
              </w:rPr>
              <w:t xml:space="preserve">.    </w:t>
            </w:r>
            <w:r w:rsidRPr="00E2528D">
              <w:rPr>
                <w:rFonts w:ascii="Calibri" w:eastAsia="Times New Roman" w:hAnsi="Calibri" w:cs="Calibri"/>
                <w:b/>
                <w:bCs/>
                <w:color w:val="000000"/>
                <w:sz w:val="28"/>
                <w:szCs w:val="28"/>
                <w:lang w:eastAsia="cs-CZ"/>
              </w:rPr>
              <w:t xml:space="preserve">           </w:t>
            </w:r>
          </w:p>
        </w:tc>
        <w:tc>
          <w:tcPr>
            <w:tcW w:w="4120" w:type="dxa"/>
            <w:tcBorders>
              <w:top w:val="single" w:sz="8" w:space="0" w:color="auto"/>
              <w:left w:val="nil"/>
              <w:bottom w:val="single" w:sz="8" w:space="0" w:color="auto"/>
              <w:right w:val="single" w:sz="8" w:space="0" w:color="auto"/>
            </w:tcBorders>
            <w:shd w:val="clear" w:color="000000" w:fill="FFC000"/>
            <w:noWrap/>
            <w:vAlign w:val="bottom"/>
            <w:hideMark/>
          </w:tcPr>
          <w:p w:rsidR="00E2528D" w:rsidRPr="00E2528D" w:rsidRDefault="00E2528D" w:rsidP="00E2528D">
            <w:pPr>
              <w:spacing w:after="0" w:line="240" w:lineRule="auto"/>
              <w:rPr>
                <w:rFonts w:ascii="Calibri" w:eastAsia="Times New Roman" w:hAnsi="Calibri" w:cs="Calibri"/>
                <w:b/>
                <w:bCs/>
                <w:color w:val="000000"/>
                <w:sz w:val="28"/>
                <w:szCs w:val="28"/>
                <w:lang w:eastAsia="cs-CZ"/>
              </w:rPr>
            </w:pPr>
            <w:r w:rsidRPr="00E2528D">
              <w:rPr>
                <w:rFonts w:ascii="Calibri" w:eastAsia="Times New Roman" w:hAnsi="Calibri" w:cs="Calibri"/>
                <w:b/>
                <w:bCs/>
                <w:color w:val="000000"/>
                <w:sz w:val="28"/>
                <w:szCs w:val="28"/>
                <w:lang w:eastAsia="cs-CZ"/>
              </w:rPr>
              <w:t> </w:t>
            </w:r>
          </w:p>
        </w:tc>
        <w:tc>
          <w:tcPr>
            <w:tcW w:w="1420" w:type="dxa"/>
            <w:tcBorders>
              <w:top w:val="single" w:sz="8" w:space="0" w:color="auto"/>
              <w:left w:val="nil"/>
              <w:bottom w:val="single" w:sz="8" w:space="0" w:color="auto"/>
              <w:right w:val="single" w:sz="8" w:space="0" w:color="auto"/>
            </w:tcBorders>
            <w:shd w:val="clear" w:color="000000" w:fill="FFC000"/>
            <w:noWrap/>
            <w:vAlign w:val="bottom"/>
            <w:hideMark/>
          </w:tcPr>
          <w:p w:rsidR="00E2528D" w:rsidRPr="00E2528D" w:rsidRDefault="00E2528D" w:rsidP="00E2528D">
            <w:pPr>
              <w:spacing w:after="0" w:line="240" w:lineRule="auto"/>
              <w:rPr>
                <w:rFonts w:ascii="Calibri" w:eastAsia="Times New Roman" w:hAnsi="Calibri" w:cs="Calibri"/>
                <w:b/>
                <w:bCs/>
                <w:color w:val="000000"/>
                <w:sz w:val="28"/>
                <w:szCs w:val="28"/>
                <w:lang w:eastAsia="cs-CZ"/>
              </w:rPr>
            </w:pPr>
            <w:r w:rsidRPr="00E2528D">
              <w:rPr>
                <w:rFonts w:ascii="Calibri" w:eastAsia="Times New Roman" w:hAnsi="Calibri" w:cs="Calibri"/>
                <w:b/>
                <w:bCs/>
                <w:color w:val="000000"/>
                <w:sz w:val="28"/>
                <w:szCs w:val="28"/>
                <w:lang w:eastAsia="cs-CZ"/>
              </w:rPr>
              <w:t> </w:t>
            </w:r>
          </w:p>
        </w:tc>
        <w:tc>
          <w:tcPr>
            <w:tcW w:w="1320" w:type="dxa"/>
            <w:tcBorders>
              <w:top w:val="single" w:sz="8" w:space="0" w:color="auto"/>
              <w:left w:val="nil"/>
              <w:bottom w:val="single" w:sz="8" w:space="0" w:color="auto"/>
              <w:right w:val="single" w:sz="4" w:space="0" w:color="auto"/>
            </w:tcBorders>
            <w:shd w:val="clear" w:color="000000" w:fill="FFC000"/>
            <w:noWrap/>
            <w:vAlign w:val="bottom"/>
            <w:hideMark/>
          </w:tcPr>
          <w:p w:rsidR="00E2528D" w:rsidRPr="00E2528D" w:rsidRDefault="00E2528D" w:rsidP="00E2528D">
            <w:pPr>
              <w:spacing w:after="0" w:line="240" w:lineRule="auto"/>
              <w:rPr>
                <w:rFonts w:ascii="Calibri" w:eastAsia="Times New Roman" w:hAnsi="Calibri" w:cs="Calibri"/>
                <w:b/>
                <w:bCs/>
                <w:color w:val="000000"/>
                <w:sz w:val="28"/>
                <w:szCs w:val="28"/>
                <w:lang w:eastAsia="cs-CZ"/>
              </w:rPr>
            </w:pPr>
            <w:r w:rsidRPr="00E2528D">
              <w:rPr>
                <w:rFonts w:ascii="Calibri" w:eastAsia="Times New Roman" w:hAnsi="Calibri" w:cs="Calibri"/>
                <w:b/>
                <w:bCs/>
                <w:color w:val="000000"/>
                <w:sz w:val="28"/>
                <w:szCs w:val="28"/>
                <w:lang w:eastAsia="cs-CZ"/>
              </w:rPr>
              <w:t> </w:t>
            </w:r>
          </w:p>
        </w:tc>
      </w:tr>
      <w:tr w:rsidR="00E2528D" w:rsidRPr="00E2528D" w:rsidTr="00E2528D">
        <w:trPr>
          <w:trHeight w:val="300"/>
        </w:trPr>
        <w:tc>
          <w:tcPr>
            <w:tcW w:w="2440" w:type="dxa"/>
            <w:tcBorders>
              <w:top w:val="nil"/>
              <w:left w:val="single" w:sz="8" w:space="0" w:color="auto"/>
              <w:bottom w:val="nil"/>
              <w:right w:val="single" w:sz="8"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b/>
                <w:bCs/>
                <w:color w:val="000000"/>
                <w:lang w:eastAsia="cs-CZ"/>
              </w:rPr>
            </w:pPr>
            <w:r w:rsidRPr="00E2528D">
              <w:rPr>
                <w:rFonts w:ascii="Calibri" w:eastAsia="Times New Roman" w:hAnsi="Calibri" w:cs="Calibri"/>
                <w:b/>
                <w:bCs/>
                <w:color w:val="000000"/>
                <w:lang w:eastAsia="cs-CZ"/>
              </w:rPr>
              <w:t xml:space="preserve">Druhové třídění </w:t>
            </w:r>
            <w:proofErr w:type="gramStart"/>
            <w:r w:rsidRPr="00E2528D">
              <w:rPr>
                <w:rFonts w:ascii="Calibri" w:eastAsia="Times New Roman" w:hAnsi="Calibri" w:cs="Calibri"/>
                <w:b/>
                <w:bCs/>
                <w:color w:val="000000"/>
                <w:lang w:eastAsia="cs-CZ"/>
              </w:rPr>
              <w:t>dle</w:t>
            </w:r>
            <w:proofErr w:type="gramEnd"/>
          </w:p>
        </w:tc>
        <w:tc>
          <w:tcPr>
            <w:tcW w:w="4120" w:type="dxa"/>
            <w:tcBorders>
              <w:top w:val="nil"/>
              <w:left w:val="nil"/>
              <w:bottom w:val="nil"/>
              <w:right w:val="single" w:sz="8" w:space="0" w:color="auto"/>
            </w:tcBorders>
            <w:shd w:val="clear" w:color="000000" w:fill="FFFF00"/>
            <w:noWrap/>
            <w:vAlign w:val="bottom"/>
            <w:hideMark/>
          </w:tcPr>
          <w:p w:rsidR="00E2528D" w:rsidRPr="00E2528D" w:rsidRDefault="00E2528D" w:rsidP="00E2528D">
            <w:pPr>
              <w:spacing w:after="0" w:line="240" w:lineRule="auto"/>
              <w:jc w:val="center"/>
              <w:rPr>
                <w:rFonts w:ascii="Calibri" w:eastAsia="Times New Roman" w:hAnsi="Calibri" w:cs="Calibri"/>
                <w:b/>
                <w:bCs/>
                <w:color w:val="000000"/>
                <w:lang w:eastAsia="cs-CZ"/>
              </w:rPr>
            </w:pPr>
            <w:r w:rsidRPr="00E2528D">
              <w:rPr>
                <w:rFonts w:ascii="Calibri" w:eastAsia="Times New Roman" w:hAnsi="Calibri" w:cs="Calibri"/>
                <w:b/>
                <w:bCs/>
                <w:color w:val="000000"/>
                <w:lang w:eastAsia="cs-CZ"/>
              </w:rPr>
              <w:t>Údaj</w:t>
            </w:r>
          </w:p>
        </w:tc>
        <w:tc>
          <w:tcPr>
            <w:tcW w:w="1420" w:type="dxa"/>
            <w:tcBorders>
              <w:top w:val="nil"/>
              <w:left w:val="nil"/>
              <w:bottom w:val="nil"/>
              <w:right w:val="single" w:sz="8" w:space="0" w:color="auto"/>
            </w:tcBorders>
            <w:shd w:val="clear" w:color="000000" w:fill="FFFF00"/>
            <w:noWrap/>
            <w:vAlign w:val="bottom"/>
            <w:hideMark/>
          </w:tcPr>
          <w:p w:rsidR="00E2528D" w:rsidRPr="00E2528D" w:rsidRDefault="00E2528D" w:rsidP="00E2528D">
            <w:pPr>
              <w:spacing w:after="0" w:line="240" w:lineRule="auto"/>
              <w:jc w:val="center"/>
              <w:rPr>
                <w:rFonts w:ascii="Calibri" w:eastAsia="Times New Roman" w:hAnsi="Calibri" w:cs="Calibri"/>
                <w:b/>
                <w:bCs/>
                <w:color w:val="000000"/>
                <w:lang w:eastAsia="cs-CZ"/>
              </w:rPr>
            </w:pPr>
            <w:r w:rsidRPr="00E2528D">
              <w:rPr>
                <w:rFonts w:ascii="Calibri" w:eastAsia="Times New Roman" w:hAnsi="Calibri" w:cs="Calibri"/>
                <w:b/>
                <w:bCs/>
                <w:color w:val="000000"/>
                <w:lang w:eastAsia="cs-CZ"/>
              </w:rPr>
              <w:t>2021</w:t>
            </w:r>
          </w:p>
        </w:tc>
        <w:tc>
          <w:tcPr>
            <w:tcW w:w="1320" w:type="dxa"/>
            <w:tcBorders>
              <w:top w:val="nil"/>
              <w:left w:val="nil"/>
              <w:bottom w:val="nil"/>
              <w:right w:val="single" w:sz="8" w:space="0" w:color="auto"/>
            </w:tcBorders>
            <w:shd w:val="clear" w:color="000000" w:fill="FFFF00"/>
            <w:noWrap/>
            <w:vAlign w:val="bottom"/>
            <w:hideMark/>
          </w:tcPr>
          <w:p w:rsidR="00E2528D" w:rsidRPr="00E2528D" w:rsidRDefault="00E2528D" w:rsidP="00E2528D">
            <w:pPr>
              <w:spacing w:after="0" w:line="240" w:lineRule="auto"/>
              <w:jc w:val="center"/>
              <w:rPr>
                <w:rFonts w:ascii="Calibri" w:eastAsia="Times New Roman" w:hAnsi="Calibri" w:cs="Calibri"/>
                <w:b/>
                <w:bCs/>
                <w:color w:val="000000"/>
                <w:lang w:eastAsia="cs-CZ"/>
              </w:rPr>
            </w:pPr>
            <w:r w:rsidRPr="00E2528D">
              <w:rPr>
                <w:rFonts w:ascii="Calibri" w:eastAsia="Times New Roman" w:hAnsi="Calibri" w:cs="Calibri"/>
                <w:b/>
                <w:bCs/>
                <w:color w:val="000000"/>
                <w:lang w:eastAsia="cs-CZ"/>
              </w:rPr>
              <w:t>2022</w:t>
            </w:r>
          </w:p>
        </w:tc>
      </w:tr>
      <w:tr w:rsidR="00E2528D" w:rsidRPr="00E2528D" w:rsidTr="00E2528D">
        <w:trPr>
          <w:trHeight w:val="300"/>
        </w:trPr>
        <w:tc>
          <w:tcPr>
            <w:tcW w:w="2440" w:type="dxa"/>
            <w:tcBorders>
              <w:top w:val="nil"/>
              <w:left w:val="single" w:sz="8" w:space="0" w:color="auto"/>
              <w:bottom w:val="nil"/>
              <w:right w:val="single" w:sz="8"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b/>
                <w:bCs/>
                <w:color w:val="000000"/>
                <w:lang w:eastAsia="cs-CZ"/>
              </w:rPr>
            </w:pPr>
            <w:r w:rsidRPr="00E2528D">
              <w:rPr>
                <w:rFonts w:ascii="Calibri" w:eastAsia="Times New Roman" w:hAnsi="Calibri" w:cs="Calibri"/>
                <w:b/>
                <w:bCs/>
                <w:color w:val="000000"/>
                <w:lang w:eastAsia="cs-CZ"/>
              </w:rPr>
              <w:t>rozpočtové skladby</w:t>
            </w:r>
          </w:p>
        </w:tc>
        <w:tc>
          <w:tcPr>
            <w:tcW w:w="4120" w:type="dxa"/>
            <w:tcBorders>
              <w:top w:val="nil"/>
              <w:left w:val="nil"/>
              <w:bottom w:val="nil"/>
              <w:right w:val="single" w:sz="8" w:space="0" w:color="auto"/>
            </w:tcBorders>
            <w:shd w:val="clear" w:color="000000" w:fill="FFFF00"/>
            <w:noWrap/>
            <w:vAlign w:val="bottom"/>
            <w:hideMark/>
          </w:tcPr>
          <w:p w:rsidR="00E2528D" w:rsidRPr="00E2528D" w:rsidRDefault="00E2528D" w:rsidP="00E2528D">
            <w:pPr>
              <w:spacing w:after="0" w:line="240" w:lineRule="auto"/>
              <w:jc w:val="center"/>
              <w:rPr>
                <w:rFonts w:ascii="Calibri" w:eastAsia="Times New Roman" w:hAnsi="Calibri" w:cs="Calibri"/>
                <w:b/>
                <w:bCs/>
                <w:color w:val="000000"/>
                <w:lang w:eastAsia="cs-CZ"/>
              </w:rPr>
            </w:pPr>
            <w:r w:rsidRPr="00E2528D">
              <w:rPr>
                <w:rFonts w:ascii="Calibri" w:eastAsia="Times New Roman" w:hAnsi="Calibri" w:cs="Calibri"/>
                <w:b/>
                <w:bCs/>
                <w:color w:val="000000"/>
                <w:lang w:eastAsia="cs-CZ"/>
              </w:rPr>
              <w:t> </w:t>
            </w:r>
          </w:p>
        </w:tc>
        <w:tc>
          <w:tcPr>
            <w:tcW w:w="1420" w:type="dxa"/>
            <w:tcBorders>
              <w:top w:val="nil"/>
              <w:left w:val="nil"/>
              <w:bottom w:val="nil"/>
              <w:right w:val="single" w:sz="8" w:space="0" w:color="auto"/>
            </w:tcBorders>
            <w:shd w:val="clear" w:color="000000" w:fill="FFFF00"/>
            <w:noWrap/>
            <w:vAlign w:val="bottom"/>
            <w:hideMark/>
          </w:tcPr>
          <w:p w:rsidR="00E2528D" w:rsidRPr="00E2528D" w:rsidRDefault="00E2528D" w:rsidP="00E2528D">
            <w:pPr>
              <w:spacing w:after="0" w:line="240" w:lineRule="auto"/>
              <w:jc w:val="center"/>
              <w:rPr>
                <w:rFonts w:ascii="Calibri" w:eastAsia="Times New Roman" w:hAnsi="Calibri" w:cs="Calibri"/>
                <w:b/>
                <w:bCs/>
                <w:color w:val="000000"/>
                <w:lang w:eastAsia="cs-CZ"/>
              </w:rPr>
            </w:pPr>
            <w:r w:rsidRPr="00E2528D">
              <w:rPr>
                <w:rFonts w:ascii="Calibri" w:eastAsia="Times New Roman" w:hAnsi="Calibri" w:cs="Calibri"/>
                <w:b/>
                <w:bCs/>
                <w:color w:val="000000"/>
                <w:lang w:eastAsia="cs-CZ"/>
              </w:rPr>
              <w:t> </w:t>
            </w:r>
          </w:p>
        </w:tc>
        <w:tc>
          <w:tcPr>
            <w:tcW w:w="1320" w:type="dxa"/>
            <w:tcBorders>
              <w:top w:val="nil"/>
              <w:left w:val="nil"/>
              <w:bottom w:val="nil"/>
              <w:right w:val="single" w:sz="8" w:space="0" w:color="auto"/>
            </w:tcBorders>
            <w:shd w:val="clear" w:color="000000" w:fill="FFFF00"/>
            <w:noWrap/>
            <w:vAlign w:val="bottom"/>
            <w:hideMark/>
          </w:tcPr>
          <w:p w:rsidR="00E2528D" w:rsidRPr="00E2528D" w:rsidRDefault="00E2528D" w:rsidP="00E2528D">
            <w:pPr>
              <w:spacing w:after="0" w:line="240" w:lineRule="auto"/>
              <w:jc w:val="center"/>
              <w:rPr>
                <w:rFonts w:ascii="Calibri" w:eastAsia="Times New Roman" w:hAnsi="Calibri" w:cs="Calibri"/>
                <w:b/>
                <w:bCs/>
                <w:color w:val="000000"/>
                <w:lang w:eastAsia="cs-CZ"/>
              </w:rPr>
            </w:pPr>
            <w:r w:rsidRPr="00E2528D">
              <w:rPr>
                <w:rFonts w:ascii="Calibri" w:eastAsia="Times New Roman" w:hAnsi="Calibri" w:cs="Calibri"/>
                <w:b/>
                <w:bCs/>
                <w:color w:val="000000"/>
                <w:lang w:eastAsia="cs-CZ"/>
              </w:rPr>
              <w:t> </w:t>
            </w:r>
          </w:p>
        </w:tc>
      </w:tr>
      <w:tr w:rsidR="00E2528D" w:rsidRPr="00E2528D" w:rsidTr="00E2528D">
        <w:trPr>
          <w:trHeight w:val="315"/>
        </w:trPr>
        <w:tc>
          <w:tcPr>
            <w:tcW w:w="2440" w:type="dxa"/>
            <w:tcBorders>
              <w:top w:val="single" w:sz="4" w:space="0" w:color="auto"/>
              <w:left w:val="single" w:sz="4" w:space="0" w:color="auto"/>
              <w:bottom w:val="nil"/>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Třída 1</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xml:space="preserve">Sdílené </w:t>
            </w:r>
            <w:proofErr w:type="gramStart"/>
            <w:r w:rsidRPr="00E2528D">
              <w:rPr>
                <w:rFonts w:ascii="Calibri" w:eastAsia="Times New Roman" w:hAnsi="Calibri" w:cs="Calibri"/>
                <w:color w:val="000000"/>
                <w:sz w:val="24"/>
                <w:szCs w:val="24"/>
                <w:lang w:eastAsia="cs-CZ"/>
              </w:rPr>
              <w:t>daně           (</w:t>
            </w:r>
            <w:proofErr w:type="spellStart"/>
            <w:r w:rsidRPr="00E2528D">
              <w:rPr>
                <w:rFonts w:ascii="Calibri" w:eastAsia="Times New Roman" w:hAnsi="Calibri" w:cs="Calibri"/>
                <w:color w:val="000000"/>
                <w:sz w:val="24"/>
                <w:szCs w:val="24"/>
                <w:lang w:eastAsia="cs-CZ"/>
              </w:rPr>
              <w:t>Pol</w:t>
            </w:r>
            <w:proofErr w:type="spellEnd"/>
            <w:proofErr w:type="gramEnd"/>
            <w:r w:rsidRPr="00E2528D">
              <w:rPr>
                <w:rFonts w:ascii="Calibri" w:eastAsia="Times New Roman" w:hAnsi="Calibri" w:cs="Calibri"/>
                <w:color w:val="000000"/>
                <w:sz w:val="24"/>
                <w:szCs w:val="24"/>
                <w:lang w:eastAsia="cs-CZ"/>
              </w:rPr>
              <w:t>: 11xx-12xx)</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45000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44200</w:t>
            </w:r>
          </w:p>
        </w:tc>
      </w:tr>
      <w:tr w:rsidR="00E2528D" w:rsidRPr="00E2528D" w:rsidTr="00E2528D">
        <w:trPr>
          <w:trHeight w:val="315"/>
        </w:trPr>
        <w:tc>
          <w:tcPr>
            <w:tcW w:w="2440" w:type="dxa"/>
            <w:tcBorders>
              <w:top w:val="nil"/>
              <w:left w:val="single" w:sz="4" w:space="0" w:color="auto"/>
              <w:bottom w:val="nil"/>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Daňové příjmy</w:t>
            </w:r>
          </w:p>
        </w:tc>
        <w:tc>
          <w:tcPr>
            <w:tcW w:w="41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xml:space="preserve">Místní </w:t>
            </w:r>
            <w:proofErr w:type="gramStart"/>
            <w:r w:rsidRPr="00E2528D">
              <w:rPr>
                <w:rFonts w:ascii="Calibri" w:eastAsia="Times New Roman" w:hAnsi="Calibri" w:cs="Calibri"/>
                <w:color w:val="000000"/>
                <w:sz w:val="24"/>
                <w:szCs w:val="24"/>
                <w:lang w:eastAsia="cs-CZ"/>
              </w:rPr>
              <w:t>poplatky       (Pol</w:t>
            </w:r>
            <w:proofErr w:type="gramEnd"/>
            <w:r w:rsidRPr="00E2528D">
              <w:rPr>
                <w:rFonts w:ascii="Calibri" w:eastAsia="Times New Roman" w:hAnsi="Calibri" w:cs="Calibri"/>
                <w:color w:val="000000"/>
                <w:sz w:val="24"/>
                <w:szCs w:val="24"/>
                <w:lang w:eastAsia="cs-CZ"/>
              </w:rPr>
              <w:t>:133x-134x)</w:t>
            </w:r>
          </w:p>
        </w:tc>
        <w:tc>
          <w:tcPr>
            <w:tcW w:w="14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1600</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1600</w:t>
            </w:r>
          </w:p>
        </w:tc>
      </w:tr>
      <w:tr w:rsidR="00E2528D" w:rsidRPr="00E2528D" w:rsidTr="00E2528D">
        <w:trPr>
          <w:trHeight w:val="315"/>
        </w:trPr>
        <w:tc>
          <w:tcPr>
            <w:tcW w:w="2440" w:type="dxa"/>
            <w:tcBorders>
              <w:top w:val="nil"/>
              <w:left w:val="single" w:sz="4" w:space="0" w:color="auto"/>
              <w:bottom w:val="nil"/>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41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xml:space="preserve">Správní </w:t>
            </w:r>
            <w:proofErr w:type="gramStart"/>
            <w:r w:rsidRPr="00E2528D">
              <w:rPr>
                <w:rFonts w:ascii="Calibri" w:eastAsia="Times New Roman" w:hAnsi="Calibri" w:cs="Calibri"/>
                <w:color w:val="000000"/>
                <w:sz w:val="24"/>
                <w:szCs w:val="24"/>
                <w:lang w:eastAsia="cs-CZ"/>
              </w:rPr>
              <w:t>poplatky             (</w:t>
            </w:r>
            <w:proofErr w:type="spellStart"/>
            <w:r w:rsidRPr="00E2528D">
              <w:rPr>
                <w:rFonts w:ascii="Calibri" w:eastAsia="Times New Roman" w:hAnsi="Calibri" w:cs="Calibri"/>
                <w:color w:val="000000"/>
                <w:sz w:val="24"/>
                <w:szCs w:val="24"/>
                <w:lang w:eastAsia="cs-CZ"/>
              </w:rPr>
              <w:t>Pol</w:t>
            </w:r>
            <w:proofErr w:type="spellEnd"/>
            <w:proofErr w:type="gramEnd"/>
            <w:r w:rsidRPr="00E2528D">
              <w:rPr>
                <w:rFonts w:ascii="Calibri" w:eastAsia="Times New Roman" w:hAnsi="Calibri" w:cs="Calibri"/>
                <w:color w:val="000000"/>
                <w:sz w:val="24"/>
                <w:szCs w:val="24"/>
                <w:lang w:eastAsia="cs-CZ"/>
              </w:rPr>
              <w:t>: 136x)</w:t>
            </w:r>
          </w:p>
        </w:tc>
        <w:tc>
          <w:tcPr>
            <w:tcW w:w="14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400</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400</w:t>
            </w:r>
          </w:p>
        </w:tc>
      </w:tr>
      <w:tr w:rsidR="00E2528D" w:rsidRPr="00E2528D" w:rsidTr="00E2528D">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41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xml:space="preserve">Daň z </w:t>
            </w:r>
            <w:proofErr w:type="gramStart"/>
            <w:r w:rsidRPr="00E2528D">
              <w:rPr>
                <w:rFonts w:ascii="Calibri" w:eastAsia="Times New Roman" w:hAnsi="Calibri" w:cs="Calibri"/>
                <w:color w:val="000000"/>
                <w:sz w:val="24"/>
                <w:szCs w:val="24"/>
                <w:lang w:eastAsia="cs-CZ"/>
              </w:rPr>
              <w:t>nemovitosti          (</w:t>
            </w:r>
            <w:proofErr w:type="spellStart"/>
            <w:r w:rsidRPr="00E2528D">
              <w:rPr>
                <w:rFonts w:ascii="Calibri" w:eastAsia="Times New Roman" w:hAnsi="Calibri" w:cs="Calibri"/>
                <w:color w:val="000000"/>
                <w:sz w:val="24"/>
                <w:szCs w:val="24"/>
                <w:lang w:eastAsia="cs-CZ"/>
              </w:rPr>
              <w:t>Pol</w:t>
            </w:r>
            <w:proofErr w:type="spellEnd"/>
            <w:proofErr w:type="gramEnd"/>
            <w:r w:rsidRPr="00E2528D">
              <w:rPr>
                <w:rFonts w:ascii="Calibri" w:eastAsia="Times New Roman" w:hAnsi="Calibri" w:cs="Calibri"/>
                <w:color w:val="000000"/>
                <w:sz w:val="24"/>
                <w:szCs w:val="24"/>
                <w:lang w:eastAsia="cs-CZ"/>
              </w:rPr>
              <w:t>: 1511)</w:t>
            </w:r>
          </w:p>
        </w:tc>
        <w:tc>
          <w:tcPr>
            <w:tcW w:w="14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1200</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1200</w:t>
            </w:r>
          </w:p>
        </w:tc>
      </w:tr>
      <w:tr w:rsidR="00E2528D" w:rsidRPr="00E2528D" w:rsidTr="00E2528D">
        <w:trPr>
          <w:trHeight w:val="315"/>
        </w:trPr>
        <w:tc>
          <w:tcPr>
            <w:tcW w:w="2440" w:type="dxa"/>
            <w:tcBorders>
              <w:top w:val="nil"/>
              <w:left w:val="single" w:sz="4" w:space="0" w:color="auto"/>
              <w:bottom w:val="nil"/>
              <w:right w:val="single" w:sz="4"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4120" w:type="dxa"/>
            <w:tcBorders>
              <w:top w:val="nil"/>
              <w:left w:val="nil"/>
              <w:bottom w:val="single" w:sz="4" w:space="0" w:color="auto"/>
              <w:right w:val="single" w:sz="4"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320" w:type="dxa"/>
            <w:tcBorders>
              <w:top w:val="nil"/>
              <w:left w:val="nil"/>
              <w:bottom w:val="single" w:sz="4" w:space="0" w:color="auto"/>
              <w:right w:val="single" w:sz="4"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r>
      <w:tr w:rsidR="00E2528D" w:rsidRPr="00E2528D" w:rsidTr="00E2528D">
        <w:trPr>
          <w:trHeight w:val="315"/>
        </w:trPr>
        <w:tc>
          <w:tcPr>
            <w:tcW w:w="2440" w:type="dxa"/>
            <w:tcBorders>
              <w:top w:val="single" w:sz="4" w:space="0" w:color="auto"/>
              <w:left w:val="single" w:sz="4" w:space="0" w:color="auto"/>
              <w:bottom w:val="nil"/>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Třída 2</w:t>
            </w:r>
          </w:p>
        </w:tc>
        <w:tc>
          <w:tcPr>
            <w:tcW w:w="41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r>
      <w:tr w:rsidR="00E2528D" w:rsidRPr="00E2528D" w:rsidTr="00E2528D">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Nedaňové příjmy</w:t>
            </w:r>
          </w:p>
        </w:tc>
        <w:tc>
          <w:tcPr>
            <w:tcW w:w="41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xml:space="preserve">                                      (</w:t>
            </w:r>
            <w:proofErr w:type="spellStart"/>
            <w:r w:rsidRPr="00E2528D">
              <w:rPr>
                <w:rFonts w:ascii="Calibri" w:eastAsia="Times New Roman" w:hAnsi="Calibri" w:cs="Calibri"/>
                <w:color w:val="000000"/>
                <w:sz w:val="24"/>
                <w:szCs w:val="24"/>
                <w:lang w:eastAsia="cs-CZ"/>
              </w:rPr>
              <w:t>Pol</w:t>
            </w:r>
            <w:proofErr w:type="spellEnd"/>
            <w:r w:rsidRPr="00E2528D">
              <w:rPr>
                <w:rFonts w:ascii="Calibri" w:eastAsia="Times New Roman" w:hAnsi="Calibri" w:cs="Calibri"/>
                <w:color w:val="000000"/>
                <w:sz w:val="24"/>
                <w:szCs w:val="24"/>
                <w:lang w:eastAsia="cs-CZ"/>
              </w:rPr>
              <w:t>: 2xxx)</w:t>
            </w:r>
          </w:p>
        </w:tc>
        <w:tc>
          <w:tcPr>
            <w:tcW w:w="14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7200</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7400</w:t>
            </w:r>
          </w:p>
        </w:tc>
      </w:tr>
      <w:tr w:rsidR="00E2528D" w:rsidRPr="00E2528D" w:rsidTr="00E2528D">
        <w:trPr>
          <w:trHeight w:val="315"/>
        </w:trPr>
        <w:tc>
          <w:tcPr>
            <w:tcW w:w="2440" w:type="dxa"/>
            <w:tcBorders>
              <w:top w:val="nil"/>
              <w:left w:val="single" w:sz="4" w:space="0" w:color="auto"/>
              <w:bottom w:val="single" w:sz="4" w:space="0" w:color="auto"/>
              <w:right w:val="single" w:sz="4"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4120" w:type="dxa"/>
            <w:tcBorders>
              <w:top w:val="nil"/>
              <w:left w:val="nil"/>
              <w:bottom w:val="single" w:sz="4" w:space="0" w:color="auto"/>
              <w:right w:val="single" w:sz="4"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320" w:type="dxa"/>
            <w:tcBorders>
              <w:top w:val="nil"/>
              <w:left w:val="nil"/>
              <w:bottom w:val="single" w:sz="4" w:space="0" w:color="auto"/>
              <w:right w:val="single" w:sz="4"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r>
      <w:tr w:rsidR="00E2528D" w:rsidRPr="00E2528D" w:rsidTr="00E2528D">
        <w:trPr>
          <w:trHeight w:val="315"/>
        </w:trPr>
        <w:tc>
          <w:tcPr>
            <w:tcW w:w="2440" w:type="dxa"/>
            <w:tcBorders>
              <w:top w:val="nil"/>
              <w:left w:val="single" w:sz="4" w:space="0" w:color="auto"/>
              <w:bottom w:val="nil"/>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Třída 3</w:t>
            </w:r>
          </w:p>
        </w:tc>
        <w:tc>
          <w:tcPr>
            <w:tcW w:w="41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r>
      <w:tr w:rsidR="00E2528D" w:rsidRPr="00E2528D" w:rsidTr="00E2528D">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Kapitálové příjmy</w:t>
            </w:r>
          </w:p>
        </w:tc>
        <w:tc>
          <w:tcPr>
            <w:tcW w:w="41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xml:space="preserve">                                      (</w:t>
            </w:r>
            <w:proofErr w:type="spellStart"/>
            <w:r w:rsidRPr="00E2528D">
              <w:rPr>
                <w:rFonts w:ascii="Calibri" w:eastAsia="Times New Roman" w:hAnsi="Calibri" w:cs="Calibri"/>
                <w:color w:val="000000"/>
                <w:sz w:val="24"/>
                <w:szCs w:val="24"/>
                <w:lang w:eastAsia="cs-CZ"/>
              </w:rPr>
              <w:t>Pol</w:t>
            </w:r>
            <w:proofErr w:type="spellEnd"/>
            <w:r w:rsidRPr="00E2528D">
              <w:rPr>
                <w:rFonts w:ascii="Calibri" w:eastAsia="Times New Roman" w:hAnsi="Calibri" w:cs="Calibri"/>
                <w:color w:val="000000"/>
                <w:sz w:val="24"/>
                <w:szCs w:val="24"/>
                <w:lang w:eastAsia="cs-CZ"/>
              </w:rPr>
              <w:t>: 3xxx)</w:t>
            </w:r>
          </w:p>
        </w:tc>
        <w:tc>
          <w:tcPr>
            <w:tcW w:w="14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0</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0</w:t>
            </w:r>
          </w:p>
        </w:tc>
      </w:tr>
      <w:tr w:rsidR="00E2528D" w:rsidRPr="00E2528D" w:rsidTr="00E2528D">
        <w:trPr>
          <w:trHeight w:val="315"/>
        </w:trPr>
        <w:tc>
          <w:tcPr>
            <w:tcW w:w="2440" w:type="dxa"/>
            <w:tcBorders>
              <w:top w:val="nil"/>
              <w:left w:val="nil"/>
              <w:bottom w:val="nil"/>
              <w:right w:val="nil"/>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4120" w:type="dxa"/>
            <w:tcBorders>
              <w:top w:val="nil"/>
              <w:left w:val="nil"/>
              <w:bottom w:val="nil"/>
              <w:right w:val="nil"/>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420" w:type="dxa"/>
            <w:tcBorders>
              <w:top w:val="nil"/>
              <w:left w:val="nil"/>
              <w:bottom w:val="nil"/>
              <w:right w:val="nil"/>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320" w:type="dxa"/>
            <w:tcBorders>
              <w:top w:val="nil"/>
              <w:left w:val="nil"/>
              <w:bottom w:val="nil"/>
              <w:right w:val="nil"/>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r>
      <w:tr w:rsidR="00E2528D" w:rsidRPr="00E2528D" w:rsidTr="00E2528D">
        <w:trPr>
          <w:trHeight w:val="315"/>
        </w:trPr>
        <w:tc>
          <w:tcPr>
            <w:tcW w:w="2440" w:type="dxa"/>
            <w:tcBorders>
              <w:top w:val="single" w:sz="4" w:space="0" w:color="auto"/>
              <w:left w:val="single" w:sz="4" w:space="0" w:color="auto"/>
              <w:bottom w:val="nil"/>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Třída 4</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r>
      <w:tr w:rsidR="00E2528D" w:rsidRPr="00E2528D" w:rsidTr="00E2528D">
        <w:trPr>
          <w:trHeight w:val="330"/>
        </w:trPr>
        <w:tc>
          <w:tcPr>
            <w:tcW w:w="2440" w:type="dxa"/>
            <w:tcBorders>
              <w:top w:val="nil"/>
              <w:left w:val="single" w:sz="4" w:space="0" w:color="auto"/>
              <w:bottom w:val="nil"/>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Transfery</w:t>
            </w:r>
          </w:p>
        </w:tc>
        <w:tc>
          <w:tcPr>
            <w:tcW w:w="4120" w:type="dxa"/>
            <w:tcBorders>
              <w:top w:val="nil"/>
              <w:left w:val="nil"/>
              <w:bottom w:val="nil"/>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xml:space="preserve">                                     (Pol:4xxx)</w:t>
            </w:r>
          </w:p>
        </w:tc>
        <w:tc>
          <w:tcPr>
            <w:tcW w:w="1420" w:type="dxa"/>
            <w:tcBorders>
              <w:top w:val="nil"/>
              <w:left w:val="nil"/>
              <w:bottom w:val="nil"/>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4600</w:t>
            </w:r>
          </w:p>
        </w:tc>
        <w:tc>
          <w:tcPr>
            <w:tcW w:w="1320" w:type="dxa"/>
            <w:tcBorders>
              <w:top w:val="nil"/>
              <w:left w:val="nil"/>
              <w:bottom w:val="nil"/>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4200</w:t>
            </w:r>
          </w:p>
        </w:tc>
      </w:tr>
      <w:tr w:rsidR="00E2528D" w:rsidRPr="00E2528D" w:rsidTr="00E2528D">
        <w:trPr>
          <w:trHeight w:val="330"/>
        </w:trPr>
        <w:tc>
          <w:tcPr>
            <w:tcW w:w="244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b/>
                <w:bCs/>
                <w:color w:val="000000"/>
                <w:sz w:val="24"/>
                <w:szCs w:val="24"/>
                <w:lang w:eastAsia="cs-CZ"/>
              </w:rPr>
            </w:pPr>
            <w:r w:rsidRPr="00E2528D">
              <w:rPr>
                <w:rFonts w:ascii="Calibri" w:eastAsia="Times New Roman" w:hAnsi="Calibri" w:cs="Calibri"/>
                <w:b/>
                <w:bCs/>
                <w:color w:val="000000"/>
                <w:sz w:val="24"/>
                <w:szCs w:val="24"/>
                <w:lang w:eastAsia="cs-CZ"/>
              </w:rPr>
              <w:t>PŘÍJMY CELKEM</w:t>
            </w:r>
          </w:p>
        </w:tc>
        <w:tc>
          <w:tcPr>
            <w:tcW w:w="4120" w:type="dxa"/>
            <w:tcBorders>
              <w:top w:val="single" w:sz="8" w:space="0" w:color="auto"/>
              <w:left w:val="nil"/>
              <w:bottom w:val="single" w:sz="8" w:space="0" w:color="auto"/>
              <w:right w:val="single" w:sz="8"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b/>
                <w:bCs/>
                <w:color w:val="000000"/>
                <w:sz w:val="24"/>
                <w:szCs w:val="24"/>
                <w:lang w:eastAsia="cs-CZ"/>
              </w:rPr>
            </w:pPr>
            <w:r w:rsidRPr="00E2528D">
              <w:rPr>
                <w:rFonts w:ascii="Calibri" w:eastAsia="Times New Roman" w:hAnsi="Calibri" w:cs="Calibri"/>
                <w:b/>
                <w:bCs/>
                <w:color w:val="000000"/>
                <w:sz w:val="24"/>
                <w:szCs w:val="24"/>
                <w:lang w:eastAsia="cs-CZ"/>
              </w:rPr>
              <w:t> </w:t>
            </w:r>
          </w:p>
        </w:tc>
        <w:tc>
          <w:tcPr>
            <w:tcW w:w="1420" w:type="dxa"/>
            <w:tcBorders>
              <w:top w:val="single" w:sz="8" w:space="0" w:color="auto"/>
              <w:left w:val="nil"/>
              <w:bottom w:val="single" w:sz="8" w:space="0" w:color="auto"/>
              <w:right w:val="single" w:sz="8" w:space="0" w:color="auto"/>
            </w:tcBorders>
            <w:shd w:val="clear" w:color="000000" w:fill="FFFF00"/>
            <w:noWrap/>
            <w:vAlign w:val="bottom"/>
            <w:hideMark/>
          </w:tcPr>
          <w:p w:rsidR="00E2528D" w:rsidRPr="00E2528D" w:rsidRDefault="00E2528D" w:rsidP="00E2528D">
            <w:pPr>
              <w:spacing w:after="0" w:line="240" w:lineRule="auto"/>
              <w:jc w:val="right"/>
              <w:rPr>
                <w:rFonts w:ascii="Calibri" w:eastAsia="Times New Roman" w:hAnsi="Calibri" w:cs="Calibri"/>
                <w:b/>
                <w:bCs/>
                <w:color w:val="000000"/>
                <w:sz w:val="24"/>
                <w:szCs w:val="24"/>
                <w:lang w:eastAsia="cs-CZ"/>
              </w:rPr>
            </w:pPr>
            <w:r w:rsidRPr="00E2528D">
              <w:rPr>
                <w:rFonts w:ascii="Calibri" w:eastAsia="Times New Roman" w:hAnsi="Calibri" w:cs="Calibri"/>
                <w:b/>
                <w:bCs/>
                <w:color w:val="000000"/>
                <w:sz w:val="24"/>
                <w:szCs w:val="24"/>
                <w:lang w:eastAsia="cs-CZ"/>
              </w:rPr>
              <w:t>60000</w:t>
            </w:r>
          </w:p>
        </w:tc>
        <w:tc>
          <w:tcPr>
            <w:tcW w:w="1320" w:type="dxa"/>
            <w:tcBorders>
              <w:top w:val="single" w:sz="8" w:space="0" w:color="auto"/>
              <w:left w:val="nil"/>
              <w:bottom w:val="single" w:sz="8" w:space="0" w:color="auto"/>
              <w:right w:val="single" w:sz="8" w:space="0" w:color="auto"/>
            </w:tcBorders>
            <w:shd w:val="clear" w:color="000000" w:fill="FFFF00"/>
            <w:noWrap/>
            <w:vAlign w:val="bottom"/>
            <w:hideMark/>
          </w:tcPr>
          <w:p w:rsidR="00E2528D" w:rsidRPr="00E2528D" w:rsidRDefault="00E2528D" w:rsidP="00E2528D">
            <w:pPr>
              <w:spacing w:after="0" w:line="240" w:lineRule="auto"/>
              <w:jc w:val="right"/>
              <w:rPr>
                <w:rFonts w:ascii="Calibri" w:eastAsia="Times New Roman" w:hAnsi="Calibri" w:cs="Calibri"/>
                <w:b/>
                <w:bCs/>
                <w:color w:val="000000"/>
                <w:sz w:val="24"/>
                <w:szCs w:val="24"/>
                <w:lang w:eastAsia="cs-CZ"/>
              </w:rPr>
            </w:pPr>
            <w:r w:rsidRPr="00E2528D">
              <w:rPr>
                <w:rFonts w:ascii="Calibri" w:eastAsia="Times New Roman" w:hAnsi="Calibri" w:cs="Calibri"/>
                <w:b/>
                <w:bCs/>
                <w:color w:val="000000"/>
                <w:sz w:val="24"/>
                <w:szCs w:val="24"/>
                <w:lang w:eastAsia="cs-CZ"/>
              </w:rPr>
              <w:t>59000</w:t>
            </w:r>
          </w:p>
        </w:tc>
      </w:tr>
      <w:tr w:rsidR="00E2528D" w:rsidRPr="00E2528D" w:rsidTr="00E2528D">
        <w:trPr>
          <w:trHeight w:val="330"/>
        </w:trPr>
        <w:tc>
          <w:tcPr>
            <w:tcW w:w="2440" w:type="dxa"/>
            <w:tcBorders>
              <w:top w:val="nil"/>
              <w:left w:val="single" w:sz="8" w:space="0" w:color="auto"/>
              <w:bottom w:val="single" w:sz="8" w:space="0" w:color="auto"/>
              <w:right w:val="nil"/>
            </w:tcBorders>
            <w:shd w:val="clear" w:color="000000" w:fill="FFC0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4120" w:type="dxa"/>
            <w:tcBorders>
              <w:top w:val="nil"/>
              <w:left w:val="nil"/>
              <w:bottom w:val="single" w:sz="8" w:space="0" w:color="auto"/>
              <w:right w:val="nil"/>
            </w:tcBorders>
            <w:shd w:val="clear" w:color="000000" w:fill="FFC0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420" w:type="dxa"/>
            <w:tcBorders>
              <w:top w:val="nil"/>
              <w:left w:val="nil"/>
              <w:bottom w:val="single" w:sz="8" w:space="0" w:color="auto"/>
              <w:right w:val="nil"/>
            </w:tcBorders>
            <w:shd w:val="clear" w:color="000000" w:fill="FFC0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320" w:type="dxa"/>
            <w:tcBorders>
              <w:top w:val="nil"/>
              <w:left w:val="nil"/>
              <w:bottom w:val="single" w:sz="8" w:space="0" w:color="auto"/>
              <w:right w:val="single" w:sz="8" w:space="0" w:color="auto"/>
            </w:tcBorders>
            <w:shd w:val="clear" w:color="000000" w:fill="FFC0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r>
      <w:tr w:rsidR="00E2528D" w:rsidRPr="00E2528D" w:rsidTr="00E2528D">
        <w:trPr>
          <w:trHeight w:val="315"/>
        </w:trPr>
        <w:tc>
          <w:tcPr>
            <w:tcW w:w="2440" w:type="dxa"/>
            <w:tcBorders>
              <w:top w:val="nil"/>
              <w:left w:val="single" w:sz="4" w:space="0" w:color="auto"/>
              <w:bottom w:val="nil"/>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Třída 5</w:t>
            </w:r>
          </w:p>
        </w:tc>
        <w:tc>
          <w:tcPr>
            <w:tcW w:w="41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r>
      <w:tr w:rsidR="00E2528D" w:rsidRPr="00E2528D" w:rsidTr="00E2528D">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Běžné výdaje</w:t>
            </w:r>
          </w:p>
        </w:tc>
        <w:tc>
          <w:tcPr>
            <w:tcW w:w="41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xml:space="preserve">                                     </w:t>
            </w:r>
            <w:proofErr w:type="gramStart"/>
            <w:r w:rsidRPr="00E2528D">
              <w:rPr>
                <w:rFonts w:ascii="Calibri" w:eastAsia="Times New Roman" w:hAnsi="Calibri" w:cs="Calibri"/>
                <w:color w:val="000000"/>
                <w:sz w:val="24"/>
                <w:szCs w:val="24"/>
                <w:lang w:eastAsia="cs-CZ"/>
              </w:rPr>
              <w:t>( Pol</w:t>
            </w:r>
            <w:proofErr w:type="gramEnd"/>
            <w:r w:rsidRPr="00E2528D">
              <w:rPr>
                <w:rFonts w:ascii="Calibri" w:eastAsia="Times New Roman" w:hAnsi="Calibri" w:cs="Calibri"/>
                <w:color w:val="000000"/>
                <w:sz w:val="24"/>
                <w:szCs w:val="24"/>
                <w:lang w:eastAsia="cs-CZ"/>
              </w:rPr>
              <w:t>:5xxx)</w:t>
            </w:r>
          </w:p>
        </w:tc>
        <w:tc>
          <w:tcPr>
            <w:tcW w:w="14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62300</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59800</w:t>
            </w:r>
          </w:p>
        </w:tc>
      </w:tr>
      <w:tr w:rsidR="00E2528D" w:rsidRPr="00E2528D" w:rsidTr="00E2528D">
        <w:trPr>
          <w:trHeight w:val="315"/>
        </w:trPr>
        <w:tc>
          <w:tcPr>
            <w:tcW w:w="2440" w:type="dxa"/>
            <w:tcBorders>
              <w:top w:val="nil"/>
              <w:left w:val="single" w:sz="4" w:space="0" w:color="auto"/>
              <w:bottom w:val="single" w:sz="4" w:space="0" w:color="auto"/>
              <w:right w:val="single" w:sz="4"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4120" w:type="dxa"/>
            <w:tcBorders>
              <w:top w:val="nil"/>
              <w:left w:val="nil"/>
              <w:bottom w:val="single" w:sz="4" w:space="0" w:color="auto"/>
              <w:right w:val="single" w:sz="4"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420" w:type="dxa"/>
            <w:tcBorders>
              <w:top w:val="nil"/>
              <w:left w:val="nil"/>
              <w:bottom w:val="single" w:sz="4" w:space="0" w:color="auto"/>
              <w:right w:val="single" w:sz="4"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320" w:type="dxa"/>
            <w:tcBorders>
              <w:top w:val="nil"/>
              <w:left w:val="nil"/>
              <w:bottom w:val="single" w:sz="4" w:space="0" w:color="auto"/>
              <w:right w:val="single" w:sz="4"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r>
      <w:tr w:rsidR="00E2528D" w:rsidRPr="00E2528D" w:rsidTr="00E2528D">
        <w:trPr>
          <w:trHeight w:val="315"/>
        </w:trPr>
        <w:tc>
          <w:tcPr>
            <w:tcW w:w="2440" w:type="dxa"/>
            <w:tcBorders>
              <w:top w:val="nil"/>
              <w:left w:val="single" w:sz="4" w:space="0" w:color="auto"/>
              <w:bottom w:val="nil"/>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Třída 6</w:t>
            </w:r>
          </w:p>
        </w:tc>
        <w:tc>
          <w:tcPr>
            <w:tcW w:w="41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r>
      <w:tr w:rsidR="00E2528D" w:rsidRPr="00E2528D" w:rsidTr="00E2528D">
        <w:trPr>
          <w:trHeight w:val="33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Kapitálové výdaje</w:t>
            </w:r>
          </w:p>
        </w:tc>
        <w:tc>
          <w:tcPr>
            <w:tcW w:w="41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xml:space="preserve">                                      (</w:t>
            </w:r>
            <w:proofErr w:type="spellStart"/>
            <w:r w:rsidRPr="00E2528D">
              <w:rPr>
                <w:rFonts w:ascii="Calibri" w:eastAsia="Times New Roman" w:hAnsi="Calibri" w:cs="Calibri"/>
                <w:color w:val="000000"/>
                <w:sz w:val="24"/>
                <w:szCs w:val="24"/>
                <w:lang w:eastAsia="cs-CZ"/>
              </w:rPr>
              <w:t>Pol</w:t>
            </w:r>
            <w:proofErr w:type="spellEnd"/>
            <w:r w:rsidRPr="00E2528D">
              <w:rPr>
                <w:rFonts w:ascii="Calibri" w:eastAsia="Times New Roman" w:hAnsi="Calibri" w:cs="Calibri"/>
                <w:color w:val="000000"/>
                <w:sz w:val="24"/>
                <w:szCs w:val="24"/>
                <w:lang w:eastAsia="cs-CZ"/>
              </w:rPr>
              <w:t>: 6xxx)</w:t>
            </w:r>
          </w:p>
        </w:tc>
        <w:tc>
          <w:tcPr>
            <w:tcW w:w="14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4000</w:t>
            </w:r>
          </w:p>
        </w:tc>
      </w:tr>
      <w:tr w:rsidR="00E2528D" w:rsidRPr="00E2528D" w:rsidTr="00E2528D">
        <w:trPr>
          <w:trHeight w:val="330"/>
        </w:trPr>
        <w:tc>
          <w:tcPr>
            <w:tcW w:w="244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b/>
                <w:bCs/>
                <w:color w:val="000000"/>
                <w:sz w:val="24"/>
                <w:szCs w:val="24"/>
                <w:lang w:eastAsia="cs-CZ"/>
              </w:rPr>
            </w:pPr>
            <w:r w:rsidRPr="00E2528D">
              <w:rPr>
                <w:rFonts w:ascii="Calibri" w:eastAsia="Times New Roman" w:hAnsi="Calibri" w:cs="Calibri"/>
                <w:b/>
                <w:bCs/>
                <w:color w:val="000000"/>
                <w:sz w:val="24"/>
                <w:szCs w:val="24"/>
                <w:lang w:eastAsia="cs-CZ"/>
              </w:rPr>
              <w:t>VÝDAJE CELKEM</w:t>
            </w:r>
          </w:p>
        </w:tc>
        <w:tc>
          <w:tcPr>
            <w:tcW w:w="4120" w:type="dxa"/>
            <w:tcBorders>
              <w:top w:val="single" w:sz="8" w:space="0" w:color="auto"/>
              <w:left w:val="nil"/>
              <w:bottom w:val="single" w:sz="8" w:space="0" w:color="auto"/>
              <w:right w:val="single" w:sz="8"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b/>
                <w:bCs/>
                <w:color w:val="000000"/>
                <w:sz w:val="24"/>
                <w:szCs w:val="24"/>
                <w:lang w:eastAsia="cs-CZ"/>
              </w:rPr>
            </w:pPr>
            <w:r w:rsidRPr="00E2528D">
              <w:rPr>
                <w:rFonts w:ascii="Calibri" w:eastAsia="Times New Roman" w:hAnsi="Calibri" w:cs="Calibri"/>
                <w:b/>
                <w:bCs/>
                <w:color w:val="000000"/>
                <w:sz w:val="24"/>
                <w:szCs w:val="24"/>
                <w:lang w:eastAsia="cs-CZ"/>
              </w:rPr>
              <w:t> </w:t>
            </w:r>
          </w:p>
        </w:tc>
        <w:tc>
          <w:tcPr>
            <w:tcW w:w="1420" w:type="dxa"/>
            <w:tcBorders>
              <w:top w:val="single" w:sz="8" w:space="0" w:color="auto"/>
              <w:left w:val="nil"/>
              <w:bottom w:val="single" w:sz="8" w:space="0" w:color="auto"/>
              <w:right w:val="single" w:sz="8" w:space="0" w:color="auto"/>
            </w:tcBorders>
            <w:shd w:val="clear" w:color="000000" w:fill="FFFF00"/>
            <w:noWrap/>
            <w:vAlign w:val="bottom"/>
            <w:hideMark/>
          </w:tcPr>
          <w:p w:rsidR="00E2528D" w:rsidRPr="00E2528D" w:rsidRDefault="00E2528D" w:rsidP="00E2528D">
            <w:pPr>
              <w:spacing w:after="0" w:line="240" w:lineRule="auto"/>
              <w:jc w:val="right"/>
              <w:rPr>
                <w:rFonts w:ascii="Calibri" w:eastAsia="Times New Roman" w:hAnsi="Calibri" w:cs="Calibri"/>
                <w:b/>
                <w:bCs/>
                <w:color w:val="000000"/>
                <w:sz w:val="24"/>
                <w:szCs w:val="24"/>
                <w:lang w:eastAsia="cs-CZ"/>
              </w:rPr>
            </w:pPr>
            <w:r w:rsidRPr="00E2528D">
              <w:rPr>
                <w:rFonts w:ascii="Calibri" w:eastAsia="Times New Roman" w:hAnsi="Calibri" w:cs="Calibri"/>
                <w:b/>
                <w:bCs/>
                <w:color w:val="000000"/>
                <w:sz w:val="24"/>
                <w:szCs w:val="24"/>
                <w:lang w:eastAsia="cs-CZ"/>
              </w:rPr>
              <w:t>65300</w:t>
            </w:r>
          </w:p>
        </w:tc>
        <w:tc>
          <w:tcPr>
            <w:tcW w:w="1320" w:type="dxa"/>
            <w:tcBorders>
              <w:top w:val="single" w:sz="8" w:space="0" w:color="auto"/>
              <w:left w:val="nil"/>
              <w:bottom w:val="single" w:sz="8" w:space="0" w:color="auto"/>
              <w:right w:val="single" w:sz="8" w:space="0" w:color="auto"/>
            </w:tcBorders>
            <w:shd w:val="clear" w:color="000000" w:fill="FFFF00"/>
            <w:noWrap/>
            <w:vAlign w:val="bottom"/>
            <w:hideMark/>
          </w:tcPr>
          <w:p w:rsidR="00E2528D" w:rsidRPr="00E2528D" w:rsidRDefault="00E2528D" w:rsidP="00E2528D">
            <w:pPr>
              <w:spacing w:after="0" w:line="240" w:lineRule="auto"/>
              <w:jc w:val="right"/>
              <w:rPr>
                <w:rFonts w:ascii="Calibri" w:eastAsia="Times New Roman" w:hAnsi="Calibri" w:cs="Calibri"/>
                <w:b/>
                <w:bCs/>
                <w:color w:val="000000"/>
                <w:sz w:val="24"/>
                <w:szCs w:val="24"/>
                <w:lang w:eastAsia="cs-CZ"/>
              </w:rPr>
            </w:pPr>
            <w:r w:rsidRPr="00E2528D">
              <w:rPr>
                <w:rFonts w:ascii="Calibri" w:eastAsia="Times New Roman" w:hAnsi="Calibri" w:cs="Calibri"/>
                <w:b/>
                <w:bCs/>
                <w:color w:val="000000"/>
                <w:sz w:val="24"/>
                <w:szCs w:val="24"/>
                <w:lang w:eastAsia="cs-CZ"/>
              </w:rPr>
              <w:t>63800</w:t>
            </w:r>
          </w:p>
        </w:tc>
      </w:tr>
      <w:tr w:rsidR="00E2528D" w:rsidRPr="00E2528D" w:rsidTr="00E2528D">
        <w:trPr>
          <w:trHeight w:val="330"/>
        </w:trPr>
        <w:tc>
          <w:tcPr>
            <w:tcW w:w="2440" w:type="dxa"/>
            <w:tcBorders>
              <w:top w:val="nil"/>
              <w:left w:val="single" w:sz="8" w:space="0" w:color="auto"/>
              <w:bottom w:val="single" w:sz="8" w:space="0" w:color="auto"/>
              <w:right w:val="nil"/>
            </w:tcBorders>
            <w:shd w:val="clear" w:color="000000" w:fill="FFC0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4120" w:type="dxa"/>
            <w:tcBorders>
              <w:top w:val="nil"/>
              <w:left w:val="nil"/>
              <w:bottom w:val="single" w:sz="8" w:space="0" w:color="auto"/>
              <w:right w:val="nil"/>
            </w:tcBorders>
            <w:shd w:val="clear" w:color="000000" w:fill="FFC0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420" w:type="dxa"/>
            <w:tcBorders>
              <w:top w:val="nil"/>
              <w:left w:val="nil"/>
              <w:bottom w:val="single" w:sz="8" w:space="0" w:color="auto"/>
              <w:right w:val="nil"/>
            </w:tcBorders>
            <w:shd w:val="clear" w:color="000000" w:fill="FFC0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320" w:type="dxa"/>
            <w:tcBorders>
              <w:top w:val="nil"/>
              <w:left w:val="nil"/>
              <w:bottom w:val="single" w:sz="8" w:space="0" w:color="auto"/>
              <w:right w:val="single" w:sz="8" w:space="0" w:color="auto"/>
            </w:tcBorders>
            <w:shd w:val="clear" w:color="000000" w:fill="FFC0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r>
      <w:tr w:rsidR="00E2528D" w:rsidRPr="00E2528D" w:rsidTr="00E2528D">
        <w:trPr>
          <w:trHeight w:val="330"/>
        </w:trPr>
        <w:tc>
          <w:tcPr>
            <w:tcW w:w="2440" w:type="dxa"/>
            <w:tcBorders>
              <w:top w:val="nil"/>
              <w:left w:val="single" w:sz="8" w:space="0" w:color="auto"/>
              <w:bottom w:val="single" w:sz="8" w:space="0" w:color="auto"/>
              <w:right w:val="nil"/>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xml:space="preserve"> </w:t>
            </w:r>
          </w:p>
        </w:tc>
        <w:tc>
          <w:tcPr>
            <w:tcW w:w="4120" w:type="dxa"/>
            <w:tcBorders>
              <w:top w:val="nil"/>
              <w:left w:val="nil"/>
              <w:bottom w:val="single" w:sz="8" w:space="0" w:color="auto"/>
              <w:right w:val="nil"/>
            </w:tcBorders>
            <w:shd w:val="clear" w:color="auto" w:fill="auto"/>
            <w:noWrap/>
            <w:vAlign w:val="bottom"/>
            <w:hideMark/>
          </w:tcPr>
          <w:p w:rsidR="00E2528D" w:rsidRPr="00E2528D" w:rsidRDefault="00E2528D" w:rsidP="00E2528D">
            <w:pPr>
              <w:spacing w:after="0" w:line="240" w:lineRule="auto"/>
              <w:jc w:val="center"/>
              <w:rPr>
                <w:rFonts w:ascii="Calibri" w:eastAsia="Times New Roman" w:hAnsi="Calibri" w:cs="Calibri"/>
                <w:b/>
                <w:bCs/>
                <w:color w:val="000000"/>
                <w:sz w:val="24"/>
                <w:szCs w:val="24"/>
                <w:lang w:eastAsia="cs-CZ"/>
              </w:rPr>
            </w:pPr>
            <w:r w:rsidRPr="00E2528D">
              <w:rPr>
                <w:rFonts w:ascii="Calibri" w:eastAsia="Times New Roman" w:hAnsi="Calibri" w:cs="Calibri"/>
                <w:b/>
                <w:bCs/>
                <w:color w:val="000000"/>
                <w:sz w:val="24"/>
                <w:szCs w:val="24"/>
                <w:lang w:eastAsia="cs-CZ"/>
              </w:rPr>
              <w:t>SALDO PŘÍJMŮ A VÝDAJŮ</w:t>
            </w:r>
          </w:p>
        </w:tc>
        <w:tc>
          <w:tcPr>
            <w:tcW w:w="1420" w:type="dxa"/>
            <w:tcBorders>
              <w:top w:val="nil"/>
              <w:left w:val="nil"/>
              <w:bottom w:val="single" w:sz="8" w:space="0" w:color="auto"/>
              <w:right w:val="nil"/>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b/>
                <w:bCs/>
                <w:color w:val="000000"/>
                <w:sz w:val="24"/>
                <w:szCs w:val="24"/>
                <w:lang w:eastAsia="cs-CZ"/>
              </w:rPr>
            </w:pPr>
            <w:r w:rsidRPr="00E2528D">
              <w:rPr>
                <w:rFonts w:ascii="Calibri" w:eastAsia="Times New Roman" w:hAnsi="Calibri" w:cs="Calibri"/>
                <w:b/>
                <w:bCs/>
                <w:color w:val="000000"/>
                <w:sz w:val="24"/>
                <w:szCs w:val="24"/>
                <w:lang w:eastAsia="cs-CZ"/>
              </w:rPr>
              <w:t>-5300</w:t>
            </w:r>
          </w:p>
        </w:tc>
        <w:tc>
          <w:tcPr>
            <w:tcW w:w="1320" w:type="dxa"/>
            <w:tcBorders>
              <w:top w:val="nil"/>
              <w:left w:val="nil"/>
              <w:bottom w:val="single" w:sz="8" w:space="0" w:color="auto"/>
              <w:right w:val="single" w:sz="8"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b/>
                <w:bCs/>
                <w:color w:val="000000"/>
                <w:sz w:val="24"/>
                <w:szCs w:val="24"/>
                <w:lang w:eastAsia="cs-CZ"/>
              </w:rPr>
            </w:pPr>
            <w:r w:rsidRPr="00E2528D">
              <w:rPr>
                <w:rFonts w:ascii="Calibri" w:eastAsia="Times New Roman" w:hAnsi="Calibri" w:cs="Calibri"/>
                <w:b/>
                <w:bCs/>
                <w:color w:val="000000"/>
                <w:sz w:val="24"/>
                <w:szCs w:val="24"/>
                <w:lang w:eastAsia="cs-CZ"/>
              </w:rPr>
              <w:t>-4800</w:t>
            </w:r>
          </w:p>
        </w:tc>
      </w:tr>
      <w:tr w:rsidR="00E2528D" w:rsidRPr="00E2528D" w:rsidTr="00E2528D">
        <w:trPr>
          <w:trHeight w:val="330"/>
        </w:trPr>
        <w:tc>
          <w:tcPr>
            <w:tcW w:w="2440" w:type="dxa"/>
            <w:tcBorders>
              <w:top w:val="nil"/>
              <w:left w:val="single" w:sz="8" w:space="0" w:color="auto"/>
              <w:bottom w:val="single" w:sz="8" w:space="0" w:color="auto"/>
              <w:right w:val="nil"/>
            </w:tcBorders>
            <w:shd w:val="clear" w:color="000000" w:fill="FFC0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xml:space="preserve"> </w:t>
            </w:r>
          </w:p>
        </w:tc>
        <w:tc>
          <w:tcPr>
            <w:tcW w:w="4120" w:type="dxa"/>
            <w:tcBorders>
              <w:top w:val="nil"/>
              <w:left w:val="nil"/>
              <w:bottom w:val="single" w:sz="8" w:space="0" w:color="auto"/>
              <w:right w:val="nil"/>
            </w:tcBorders>
            <w:shd w:val="clear" w:color="000000" w:fill="FFC0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420" w:type="dxa"/>
            <w:tcBorders>
              <w:top w:val="nil"/>
              <w:left w:val="nil"/>
              <w:bottom w:val="single" w:sz="8" w:space="0" w:color="auto"/>
              <w:right w:val="nil"/>
            </w:tcBorders>
            <w:shd w:val="clear" w:color="000000" w:fill="FFC0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320" w:type="dxa"/>
            <w:tcBorders>
              <w:top w:val="nil"/>
              <w:left w:val="nil"/>
              <w:bottom w:val="single" w:sz="8" w:space="0" w:color="auto"/>
              <w:right w:val="single" w:sz="8" w:space="0" w:color="auto"/>
            </w:tcBorders>
            <w:shd w:val="clear" w:color="000000" w:fill="FFC000"/>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r>
      <w:tr w:rsidR="00E2528D" w:rsidRPr="00E2528D" w:rsidTr="00E2528D">
        <w:trPr>
          <w:trHeight w:val="315"/>
        </w:trPr>
        <w:tc>
          <w:tcPr>
            <w:tcW w:w="2440" w:type="dxa"/>
            <w:tcBorders>
              <w:top w:val="nil"/>
              <w:left w:val="single" w:sz="4" w:space="0" w:color="auto"/>
              <w:bottom w:val="nil"/>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Třída 8</w:t>
            </w:r>
          </w:p>
        </w:tc>
        <w:tc>
          <w:tcPr>
            <w:tcW w:w="4120" w:type="dxa"/>
            <w:tcBorders>
              <w:top w:val="nil"/>
              <w:left w:val="nil"/>
              <w:bottom w:val="nil"/>
              <w:right w:val="nil"/>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420" w:type="dxa"/>
            <w:tcBorders>
              <w:top w:val="nil"/>
              <w:left w:val="nil"/>
              <w:bottom w:val="nil"/>
              <w:right w:val="nil"/>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p>
        </w:tc>
        <w:tc>
          <w:tcPr>
            <w:tcW w:w="1320" w:type="dxa"/>
            <w:tcBorders>
              <w:top w:val="nil"/>
              <w:left w:val="nil"/>
              <w:bottom w:val="nil"/>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r>
      <w:tr w:rsidR="00E2528D" w:rsidRPr="00E2528D" w:rsidTr="00E2528D">
        <w:trPr>
          <w:trHeight w:val="315"/>
        </w:trPr>
        <w:tc>
          <w:tcPr>
            <w:tcW w:w="2440" w:type="dxa"/>
            <w:tcBorders>
              <w:top w:val="nil"/>
              <w:left w:val="single" w:sz="4" w:space="0" w:color="auto"/>
              <w:bottom w:val="nil"/>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Financování</w:t>
            </w:r>
          </w:p>
        </w:tc>
        <w:tc>
          <w:tcPr>
            <w:tcW w:w="4120" w:type="dxa"/>
            <w:tcBorders>
              <w:top w:val="nil"/>
              <w:left w:val="nil"/>
              <w:bottom w:val="single" w:sz="4" w:space="0" w:color="auto"/>
              <w:right w:val="nil"/>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420" w:type="dxa"/>
            <w:tcBorders>
              <w:top w:val="nil"/>
              <w:left w:val="nil"/>
              <w:bottom w:val="single" w:sz="4" w:space="0" w:color="auto"/>
              <w:right w:val="nil"/>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r>
      <w:tr w:rsidR="00E2528D" w:rsidRPr="00E2528D" w:rsidTr="00E2528D">
        <w:trPr>
          <w:trHeight w:val="31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8115</w:t>
            </w:r>
          </w:p>
        </w:tc>
        <w:tc>
          <w:tcPr>
            <w:tcW w:w="41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Zůstatek na účtech</w:t>
            </w:r>
          </w:p>
        </w:tc>
        <w:tc>
          <w:tcPr>
            <w:tcW w:w="14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8200</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7200</w:t>
            </w:r>
          </w:p>
        </w:tc>
      </w:tr>
      <w:tr w:rsidR="00E2528D" w:rsidRPr="00E2528D" w:rsidTr="00E2528D">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8115</w:t>
            </w:r>
          </w:p>
        </w:tc>
        <w:tc>
          <w:tcPr>
            <w:tcW w:w="41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Fondy</w:t>
            </w:r>
          </w:p>
        </w:tc>
        <w:tc>
          <w:tcPr>
            <w:tcW w:w="14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1800</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1800</w:t>
            </w:r>
          </w:p>
        </w:tc>
      </w:tr>
      <w:tr w:rsidR="00E2528D" w:rsidRPr="00E2528D" w:rsidTr="00E2528D">
        <w:trPr>
          <w:trHeight w:val="330"/>
        </w:trPr>
        <w:tc>
          <w:tcPr>
            <w:tcW w:w="2440" w:type="dxa"/>
            <w:tcBorders>
              <w:top w:val="nil"/>
              <w:left w:val="single" w:sz="4" w:space="0" w:color="auto"/>
              <w:bottom w:val="nil"/>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8124</w:t>
            </w:r>
          </w:p>
        </w:tc>
        <w:tc>
          <w:tcPr>
            <w:tcW w:w="4120" w:type="dxa"/>
            <w:tcBorders>
              <w:top w:val="nil"/>
              <w:left w:val="nil"/>
              <w:bottom w:val="nil"/>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Uhrazené splátky dlouhodobých závazků</w:t>
            </w:r>
          </w:p>
        </w:tc>
        <w:tc>
          <w:tcPr>
            <w:tcW w:w="1420" w:type="dxa"/>
            <w:tcBorders>
              <w:top w:val="nil"/>
              <w:left w:val="nil"/>
              <w:bottom w:val="nil"/>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-4700</w:t>
            </w:r>
          </w:p>
        </w:tc>
        <w:tc>
          <w:tcPr>
            <w:tcW w:w="1320" w:type="dxa"/>
            <w:tcBorders>
              <w:top w:val="nil"/>
              <w:left w:val="nil"/>
              <w:bottom w:val="nil"/>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-4200</w:t>
            </w:r>
          </w:p>
        </w:tc>
      </w:tr>
      <w:tr w:rsidR="00E2528D" w:rsidRPr="00E2528D" w:rsidTr="00E2528D">
        <w:trPr>
          <w:trHeight w:val="330"/>
        </w:trPr>
        <w:tc>
          <w:tcPr>
            <w:tcW w:w="244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b/>
                <w:bCs/>
                <w:color w:val="000000"/>
                <w:sz w:val="24"/>
                <w:szCs w:val="24"/>
                <w:lang w:eastAsia="cs-CZ"/>
              </w:rPr>
            </w:pPr>
            <w:r w:rsidRPr="00E2528D">
              <w:rPr>
                <w:rFonts w:ascii="Calibri" w:eastAsia="Times New Roman" w:hAnsi="Calibri" w:cs="Calibri"/>
                <w:b/>
                <w:bCs/>
                <w:color w:val="000000"/>
                <w:sz w:val="24"/>
                <w:szCs w:val="24"/>
                <w:lang w:eastAsia="cs-CZ"/>
              </w:rPr>
              <w:t>FINANCOVÁNÍ CELKEM</w:t>
            </w:r>
          </w:p>
        </w:tc>
        <w:tc>
          <w:tcPr>
            <w:tcW w:w="4120" w:type="dxa"/>
            <w:tcBorders>
              <w:top w:val="single" w:sz="8" w:space="0" w:color="auto"/>
              <w:left w:val="nil"/>
              <w:bottom w:val="single" w:sz="8" w:space="0" w:color="auto"/>
              <w:right w:val="single" w:sz="8" w:space="0" w:color="auto"/>
            </w:tcBorders>
            <w:shd w:val="clear" w:color="000000" w:fill="FFFF00"/>
            <w:noWrap/>
            <w:vAlign w:val="bottom"/>
            <w:hideMark/>
          </w:tcPr>
          <w:p w:rsidR="00E2528D" w:rsidRPr="00E2528D" w:rsidRDefault="00E2528D" w:rsidP="00E2528D">
            <w:pPr>
              <w:spacing w:after="0" w:line="240" w:lineRule="auto"/>
              <w:rPr>
                <w:rFonts w:ascii="Calibri" w:eastAsia="Times New Roman" w:hAnsi="Calibri" w:cs="Calibri"/>
                <w:b/>
                <w:bCs/>
                <w:color w:val="000000"/>
                <w:sz w:val="24"/>
                <w:szCs w:val="24"/>
                <w:lang w:eastAsia="cs-CZ"/>
              </w:rPr>
            </w:pPr>
            <w:r w:rsidRPr="00E2528D">
              <w:rPr>
                <w:rFonts w:ascii="Calibri" w:eastAsia="Times New Roman" w:hAnsi="Calibri" w:cs="Calibri"/>
                <w:b/>
                <w:bCs/>
                <w:color w:val="000000"/>
                <w:sz w:val="24"/>
                <w:szCs w:val="24"/>
                <w:lang w:eastAsia="cs-CZ"/>
              </w:rPr>
              <w:t> </w:t>
            </w:r>
          </w:p>
        </w:tc>
        <w:tc>
          <w:tcPr>
            <w:tcW w:w="1420" w:type="dxa"/>
            <w:tcBorders>
              <w:top w:val="single" w:sz="8" w:space="0" w:color="auto"/>
              <w:left w:val="nil"/>
              <w:bottom w:val="single" w:sz="8" w:space="0" w:color="auto"/>
              <w:right w:val="single" w:sz="8" w:space="0" w:color="auto"/>
            </w:tcBorders>
            <w:shd w:val="clear" w:color="000000" w:fill="FFFF00"/>
            <w:noWrap/>
            <w:vAlign w:val="bottom"/>
            <w:hideMark/>
          </w:tcPr>
          <w:p w:rsidR="00E2528D" w:rsidRPr="00E2528D" w:rsidRDefault="00E2528D" w:rsidP="00E2528D">
            <w:pPr>
              <w:spacing w:after="0" w:line="240" w:lineRule="auto"/>
              <w:jc w:val="right"/>
              <w:rPr>
                <w:rFonts w:ascii="Calibri" w:eastAsia="Times New Roman" w:hAnsi="Calibri" w:cs="Calibri"/>
                <w:b/>
                <w:bCs/>
                <w:color w:val="000000"/>
                <w:sz w:val="24"/>
                <w:szCs w:val="24"/>
                <w:lang w:eastAsia="cs-CZ"/>
              </w:rPr>
            </w:pPr>
            <w:r w:rsidRPr="00E2528D">
              <w:rPr>
                <w:rFonts w:ascii="Calibri" w:eastAsia="Times New Roman" w:hAnsi="Calibri" w:cs="Calibri"/>
                <w:b/>
                <w:bCs/>
                <w:color w:val="000000"/>
                <w:sz w:val="24"/>
                <w:szCs w:val="24"/>
                <w:lang w:eastAsia="cs-CZ"/>
              </w:rPr>
              <w:t>5300</w:t>
            </w:r>
          </w:p>
        </w:tc>
        <w:tc>
          <w:tcPr>
            <w:tcW w:w="1320" w:type="dxa"/>
            <w:tcBorders>
              <w:top w:val="single" w:sz="8" w:space="0" w:color="auto"/>
              <w:left w:val="nil"/>
              <w:bottom w:val="single" w:sz="8" w:space="0" w:color="auto"/>
              <w:right w:val="single" w:sz="8" w:space="0" w:color="auto"/>
            </w:tcBorders>
            <w:shd w:val="clear" w:color="000000" w:fill="FFFF00"/>
            <w:noWrap/>
            <w:vAlign w:val="bottom"/>
            <w:hideMark/>
          </w:tcPr>
          <w:p w:rsidR="00E2528D" w:rsidRPr="00E2528D" w:rsidRDefault="00E2528D" w:rsidP="00E2528D">
            <w:pPr>
              <w:spacing w:after="0" w:line="240" w:lineRule="auto"/>
              <w:jc w:val="right"/>
              <w:rPr>
                <w:rFonts w:ascii="Calibri" w:eastAsia="Times New Roman" w:hAnsi="Calibri" w:cs="Calibri"/>
                <w:b/>
                <w:bCs/>
                <w:color w:val="000000"/>
                <w:sz w:val="24"/>
                <w:szCs w:val="24"/>
                <w:lang w:eastAsia="cs-CZ"/>
              </w:rPr>
            </w:pPr>
            <w:r w:rsidRPr="00E2528D">
              <w:rPr>
                <w:rFonts w:ascii="Calibri" w:eastAsia="Times New Roman" w:hAnsi="Calibri" w:cs="Calibri"/>
                <w:b/>
                <w:bCs/>
                <w:color w:val="000000"/>
                <w:sz w:val="24"/>
                <w:szCs w:val="24"/>
                <w:lang w:eastAsia="cs-CZ"/>
              </w:rPr>
              <w:t>4800</w:t>
            </w:r>
          </w:p>
        </w:tc>
      </w:tr>
      <w:tr w:rsidR="00E2528D" w:rsidRPr="00E2528D" w:rsidTr="00E2528D">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41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 </w:t>
            </w:r>
          </w:p>
        </w:tc>
      </w:tr>
      <w:tr w:rsidR="00E2528D" w:rsidRPr="00E2528D" w:rsidTr="00E2528D">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Rozvaha</w:t>
            </w:r>
          </w:p>
        </w:tc>
        <w:tc>
          <w:tcPr>
            <w:tcW w:w="41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Dlouhodobé závazky</w:t>
            </w:r>
          </w:p>
        </w:tc>
        <w:tc>
          <w:tcPr>
            <w:tcW w:w="14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8300</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4100</w:t>
            </w:r>
          </w:p>
        </w:tc>
      </w:tr>
      <w:tr w:rsidR="00E2528D" w:rsidRPr="00E2528D" w:rsidTr="00E2528D">
        <w:trPr>
          <w:trHeight w:val="31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Rozvaha</w:t>
            </w:r>
          </w:p>
        </w:tc>
        <w:tc>
          <w:tcPr>
            <w:tcW w:w="41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Dlouhodobé pohledávky</w:t>
            </w:r>
          </w:p>
        </w:tc>
        <w:tc>
          <w:tcPr>
            <w:tcW w:w="14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0</w:t>
            </w:r>
          </w:p>
        </w:tc>
        <w:tc>
          <w:tcPr>
            <w:tcW w:w="1320" w:type="dxa"/>
            <w:tcBorders>
              <w:top w:val="nil"/>
              <w:left w:val="nil"/>
              <w:bottom w:val="single" w:sz="4" w:space="0" w:color="auto"/>
              <w:right w:val="single" w:sz="4" w:space="0" w:color="auto"/>
            </w:tcBorders>
            <w:shd w:val="clear" w:color="auto" w:fill="auto"/>
            <w:noWrap/>
            <w:vAlign w:val="bottom"/>
            <w:hideMark/>
          </w:tcPr>
          <w:p w:rsidR="00E2528D" w:rsidRPr="00E2528D" w:rsidRDefault="00E2528D" w:rsidP="00E2528D">
            <w:pPr>
              <w:spacing w:after="0" w:line="240" w:lineRule="auto"/>
              <w:jc w:val="right"/>
              <w:rPr>
                <w:rFonts w:ascii="Calibri" w:eastAsia="Times New Roman" w:hAnsi="Calibri" w:cs="Calibri"/>
                <w:color w:val="000000"/>
                <w:sz w:val="24"/>
                <w:szCs w:val="24"/>
                <w:lang w:eastAsia="cs-CZ"/>
              </w:rPr>
            </w:pPr>
            <w:r w:rsidRPr="00E2528D">
              <w:rPr>
                <w:rFonts w:ascii="Calibri" w:eastAsia="Times New Roman" w:hAnsi="Calibri" w:cs="Calibri"/>
                <w:color w:val="000000"/>
                <w:sz w:val="24"/>
                <w:szCs w:val="24"/>
                <w:lang w:eastAsia="cs-CZ"/>
              </w:rPr>
              <w:t>0</w:t>
            </w:r>
          </w:p>
        </w:tc>
      </w:tr>
    </w:tbl>
    <w:p w:rsidR="00836927" w:rsidRDefault="00836927"/>
    <w:p w:rsidR="00836927" w:rsidRPr="00836927" w:rsidRDefault="007B32B5">
      <w:pPr>
        <w:rPr>
          <w:b/>
          <w:sz w:val="28"/>
          <w:szCs w:val="28"/>
        </w:rPr>
      </w:pPr>
      <w:r>
        <w:rPr>
          <w:b/>
          <w:sz w:val="28"/>
          <w:szCs w:val="28"/>
        </w:rPr>
        <w:t>Komentář ke střednědobému výhledu</w:t>
      </w:r>
      <w:r w:rsidR="00836927" w:rsidRPr="00836927">
        <w:rPr>
          <w:b/>
          <w:sz w:val="28"/>
          <w:szCs w:val="28"/>
        </w:rPr>
        <w:t xml:space="preserve"> na roky 20</w:t>
      </w:r>
      <w:r w:rsidR="00C93283">
        <w:rPr>
          <w:b/>
          <w:sz w:val="28"/>
          <w:szCs w:val="28"/>
        </w:rPr>
        <w:t>21</w:t>
      </w:r>
      <w:r w:rsidR="00836927" w:rsidRPr="00836927">
        <w:rPr>
          <w:b/>
          <w:sz w:val="28"/>
          <w:szCs w:val="28"/>
        </w:rPr>
        <w:t xml:space="preserve"> – 20</w:t>
      </w:r>
      <w:r>
        <w:rPr>
          <w:b/>
          <w:sz w:val="28"/>
          <w:szCs w:val="28"/>
        </w:rPr>
        <w:t>2</w:t>
      </w:r>
      <w:r w:rsidR="00C93283">
        <w:rPr>
          <w:b/>
          <w:sz w:val="28"/>
          <w:szCs w:val="28"/>
        </w:rPr>
        <w:t>2</w:t>
      </w:r>
    </w:p>
    <w:p w:rsidR="00836927" w:rsidRDefault="000B5F4E" w:rsidP="00CB21BF">
      <w:pPr>
        <w:jc w:val="both"/>
      </w:pPr>
      <w:r>
        <w:t>Střednědobý výhled rozpočtu</w:t>
      </w:r>
      <w:r w:rsidR="00836927">
        <w:t xml:space="preserve"> (dále jen </w:t>
      </w:r>
      <w:r>
        <w:t>SVR</w:t>
      </w:r>
      <w:r w:rsidR="00836927">
        <w:t>) je pomocným nástrojem pro střednědobé finanční</w:t>
      </w:r>
      <w:r w:rsidR="00C92068">
        <w:t xml:space="preserve"> </w:t>
      </w:r>
      <w:r w:rsidR="00836927">
        <w:t xml:space="preserve">plánování rozvoje města a jeho hospodaření. Slouží jako vodítko pro sestavení ročního rozpočtu na následující kalendářní rok a je podkladem pro přípravu investičních akcí. </w:t>
      </w:r>
    </w:p>
    <w:p w:rsidR="00D91964" w:rsidRDefault="00D91964" w:rsidP="00CB21BF">
      <w:pPr>
        <w:jc w:val="both"/>
      </w:pPr>
      <w:r>
        <w:t>Smyslem SVR je prokázat schopnost, že město dostojí svým dosavadním závazkům.</w:t>
      </w:r>
    </w:p>
    <w:p w:rsidR="00D5741E" w:rsidRDefault="00D5741E" w:rsidP="00D5741E">
      <w:pPr>
        <w:spacing w:line="240" w:lineRule="auto"/>
      </w:pPr>
      <w:r>
        <w:t xml:space="preserve">Při </w:t>
      </w:r>
      <w:proofErr w:type="gramStart"/>
      <w:r>
        <w:t xml:space="preserve">sestavování </w:t>
      </w:r>
      <w:r w:rsidR="000B5F4E">
        <w:t xml:space="preserve"> SVR</w:t>
      </w:r>
      <w:proofErr w:type="gramEnd"/>
      <w:r w:rsidR="000B5F4E">
        <w:t xml:space="preserve"> </w:t>
      </w:r>
      <w:r>
        <w:t xml:space="preserve"> na následující dva roky jsme vycházeli ze zákonných předpisů, kt</w:t>
      </w:r>
      <w:r w:rsidR="00C93283">
        <w:t>eré jsou platné v současné době a z dalších dokumentů:</w:t>
      </w:r>
    </w:p>
    <w:p w:rsidR="00D5741E" w:rsidRDefault="00D5741E" w:rsidP="00D5741E">
      <w:pPr>
        <w:pStyle w:val="Odstavecseseznamem"/>
        <w:numPr>
          <w:ilvl w:val="0"/>
          <w:numId w:val="5"/>
        </w:numPr>
        <w:spacing w:line="240" w:lineRule="auto"/>
        <w:jc w:val="both"/>
      </w:pPr>
      <w:r>
        <w:t>Zákon 250/2000 Sb. o rozpočtových pravidlech územních rozpočtů</w:t>
      </w:r>
    </w:p>
    <w:p w:rsidR="00D5741E" w:rsidRDefault="00D5741E" w:rsidP="00D5741E">
      <w:pPr>
        <w:pStyle w:val="Odstavecseseznamem"/>
        <w:numPr>
          <w:ilvl w:val="0"/>
          <w:numId w:val="5"/>
        </w:numPr>
        <w:spacing w:line="240" w:lineRule="auto"/>
        <w:jc w:val="both"/>
      </w:pPr>
      <w:r>
        <w:t>Zákon 128/2000 Sb. o obcích</w:t>
      </w:r>
    </w:p>
    <w:p w:rsidR="00D5741E" w:rsidRDefault="00D5741E" w:rsidP="00D5741E">
      <w:pPr>
        <w:pStyle w:val="Odstavecseseznamem"/>
        <w:numPr>
          <w:ilvl w:val="0"/>
          <w:numId w:val="5"/>
        </w:numPr>
        <w:spacing w:line="240" w:lineRule="auto"/>
        <w:jc w:val="both"/>
      </w:pPr>
      <w:r>
        <w:t>Zákon 243/2000 Sb. o rozpočtovém určení daní</w:t>
      </w:r>
    </w:p>
    <w:p w:rsidR="00C93283" w:rsidRDefault="00C93283" w:rsidP="00D5741E">
      <w:pPr>
        <w:pStyle w:val="Odstavecseseznamem"/>
        <w:numPr>
          <w:ilvl w:val="0"/>
          <w:numId w:val="5"/>
        </w:numPr>
        <w:spacing w:line="240" w:lineRule="auto"/>
        <w:jc w:val="both"/>
      </w:pPr>
      <w:r>
        <w:t xml:space="preserve">Účetní a finanční výkazy </w:t>
      </w:r>
    </w:p>
    <w:p w:rsidR="00C93283" w:rsidRDefault="00C93283" w:rsidP="00D5741E">
      <w:pPr>
        <w:pStyle w:val="Odstavecseseznamem"/>
        <w:numPr>
          <w:ilvl w:val="0"/>
          <w:numId w:val="5"/>
        </w:numPr>
        <w:spacing w:line="240" w:lineRule="auto"/>
        <w:jc w:val="both"/>
      </w:pPr>
      <w:r>
        <w:t xml:space="preserve">Predikce výnosů daní </w:t>
      </w:r>
      <w:proofErr w:type="spellStart"/>
      <w:r>
        <w:t>Cityfinance</w:t>
      </w:r>
      <w:proofErr w:type="spellEnd"/>
      <w:r>
        <w:t xml:space="preserve"> využívající makroekonomické prognózy MF ČR, ČNB, KB a.s. a vybraná data ČSÚ.</w:t>
      </w:r>
    </w:p>
    <w:p w:rsidR="00D5741E" w:rsidRDefault="00D5741E" w:rsidP="00D5741E">
      <w:pPr>
        <w:spacing w:line="240" w:lineRule="auto"/>
        <w:jc w:val="both"/>
      </w:pPr>
      <w:r>
        <w:t xml:space="preserve">Předpoklady zohledněné při sestavování </w:t>
      </w:r>
      <w:r w:rsidR="000B5F4E">
        <w:t>SVR</w:t>
      </w:r>
      <w:r>
        <w:t>:</w:t>
      </w:r>
    </w:p>
    <w:p w:rsidR="00D5741E" w:rsidRDefault="00D5741E" w:rsidP="00D5741E">
      <w:pPr>
        <w:pStyle w:val="Odstavecseseznamem"/>
        <w:numPr>
          <w:ilvl w:val="0"/>
          <w:numId w:val="6"/>
        </w:numPr>
        <w:spacing w:line="240" w:lineRule="auto"/>
        <w:jc w:val="both"/>
      </w:pPr>
      <w:r>
        <w:t>příjmová a výdajová část (běžná) rozpočtu se bude v následujících letech vyvíjet zhruba ve stejném objemu, ovlivněném pouze inflací</w:t>
      </w:r>
    </w:p>
    <w:p w:rsidR="00D5741E" w:rsidRDefault="00D5741E" w:rsidP="00D5741E">
      <w:pPr>
        <w:pStyle w:val="Odstavecseseznamem"/>
        <w:numPr>
          <w:ilvl w:val="0"/>
          <w:numId w:val="6"/>
        </w:numPr>
        <w:spacing w:line="240" w:lineRule="auto"/>
        <w:jc w:val="both"/>
      </w:pPr>
      <w:r>
        <w:t>nedojde k novele zákona o rozpočtovém určení daní</w:t>
      </w:r>
    </w:p>
    <w:p w:rsidR="00D5741E" w:rsidRDefault="00D5741E" w:rsidP="00D5741E">
      <w:pPr>
        <w:pStyle w:val="Odstavecseseznamem"/>
        <w:spacing w:line="240" w:lineRule="auto"/>
        <w:jc w:val="both"/>
      </w:pPr>
    </w:p>
    <w:p w:rsidR="00D5741E" w:rsidRDefault="00D5741E" w:rsidP="00D5741E">
      <w:pPr>
        <w:spacing w:line="240" w:lineRule="auto"/>
        <w:jc w:val="both"/>
      </w:pPr>
      <w:r>
        <w:t xml:space="preserve">Daňové a nedaňové příjmy a neinvestiční dotace jsou zdrojem krytí běžných výdajů města. Kapitálové výdaje mají být zajištěny kapitálovými příjmy, příjmy z dotací na investice. </w:t>
      </w:r>
    </w:p>
    <w:p w:rsidR="00D5741E" w:rsidRDefault="00D5741E" w:rsidP="00D5741E">
      <w:pPr>
        <w:spacing w:line="240" w:lineRule="auto"/>
        <w:jc w:val="both"/>
      </w:pPr>
      <w:r>
        <w:t xml:space="preserve"> </w:t>
      </w:r>
      <w:proofErr w:type="gramStart"/>
      <w:r>
        <w:t>Následující  faktory</w:t>
      </w:r>
      <w:proofErr w:type="gramEnd"/>
      <w:r>
        <w:t xml:space="preserve"> mohou ovlivnit vývoj finančních zdrojů města:</w:t>
      </w:r>
    </w:p>
    <w:p w:rsidR="00D5741E" w:rsidRDefault="00D5741E" w:rsidP="00D5741E">
      <w:pPr>
        <w:pStyle w:val="Odstavecseseznamem"/>
        <w:numPr>
          <w:ilvl w:val="0"/>
          <w:numId w:val="7"/>
        </w:numPr>
        <w:spacing w:line="240" w:lineRule="auto"/>
        <w:jc w:val="both"/>
      </w:pPr>
      <w:r>
        <w:t>novely daňových zákonů,</w:t>
      </w:r>
    </w:p>
    <w:p w:rsidR="00D5741E" w:rsidRDefault="00D5741E" w:rsidP="00D5741E">
      <w:pPr>
        <w:pStyle w:val="Odstavecseseznamem"/>
        <w:numPr>
          <w:ilvl w:val="0"/>
          <w:numId w:val="7"/>
        </w:numPr>
        <w:spacing w:line="240" w:lineRule="auto"/>
        <w:jc w:val="both"/>
      </w:pPr>
      <w:r>
        <w:t>měnící se rozsah a výše dotací ze státního rozpočtu,</w:t>
      </w:r>
      <w:r>
        <w:tab/>
      </w:r>
    </w:p>
    <w:p w:rsidR="00D5741E" w:rsidRDefault="00D5741E" w:rsidP="00D5741E">
      <w:pPr>
        <w:pStyle w:val="Odstavecseseznamem"/>
        <w:numPr>
          <w:ilvl w:val="0"/>
          <w:numId w:val="7"/>
        </w:numPr>
        <w:spacing w:line="240" w:lineRule="auto"/>
        <w:jc w:val="both"/>
      </w:pPr>
      <w:r>
        <w:t>zajišťování vlastních zdrojů na financování akcí, kde je spoluúčast na financování z evropských fondů.</w:t>
      </w:r>
    </w:p>
    <w:p w:rsidR="00D5741E" w:rsidRDefault="000B5F4E" w:rsidP="00D5741E">
      <w:pPr>
        <w:spacing w:line="240" w:lineRule="auto"/>
        <w:jc w:val="both"/>
      </w:pPr>
      <w:proofErr w:type="gramStart"/>
      <w:r>
        <w:t xml:space="preserve">SVR </w:t>
      </w:r>
      <w:r w:rsidR="00D5741E">
        <w:t xml:space="preserve"> predikuje</w:t>
      </w:r>
      <w:proofErr w:type="gramEnd"/>
      <w:r w:rsidR="00D5741E">
        <w:t xml:space="preserve"> vývoj příjmů a výdajů pouze v zásadních položkách, nesestavuje podrobné financování města v období, na které je sestavován.</w:t>
      </w:r>
      <w:r w:rsidR="00C93283">
        <w:t xml:space="preserve"> Aby plnil správně svou roli, je aktualizován každý rok.</w:t>
      </w:r>
    </w:p>
    <w:p w:rsidR="00C93283" w:rsidRDefault="00D5741E" w:rsidP="00D5741E">
      <w:pPr>
        <w:spacing w:line="240" w:lineRule="auto"/>
        <w:jc w:val="both"/>
      </w:pPr>
      <w:r>
        <w:t>Bude-li městu přiznána v roce 20</w:t>
      </w:r>
      <w:r w:rsidR="009774BE">
        <w:t>2</w:t>
      </w:r>
      <w:r w:rsidR="00C93283">
        <w:t>1</w:t>
      </w:r>
      <w:r w:rsidR="000B5F4E">
        <w:t>, 202</w:t>
      </w:r>
      <w:r w:rsidR="00C93283">
        <w:t>2</w:t>
      </w:r>
      <w:r w:rsidR="000B5F4E">
        <w:t xml:space="preserve"> in</w:t>
      </w:r>
      <w:r>
        <w:t xml:space="preserve">vestiční dotace, provede se aktualizace </w:t>
      </w:r>
      <w:r w:rsidR="000B5F4E">
        <w:t>SVR.</w:t>
      </w:r>
    </w:p>
    <w:p w:rsidR="00C93283" w:rsidRDefault="00C93283" w:rsidP="00D5741E">
      <w:pPr>
        <w:spacing w:line="240" w:lineRule="auto"/>
        <w:jc w:val="both"/>
      </w:pPr>
    </w:p>
    <w:p w:rsidR="00DB70A9" w:rsidRPr="00DB70A9" w:rsidRDefault="00DB70A9" w:rsidP="00CB21BF">
      <w:pPr>
        <w:jc w:val="both"/>
        <w:rPr>
          <w:b/>
          <w:color w:val="1F497D" w:themeColor="text2"/>
          <w:sz w:val="28"/>
          <w:szCs w:val="28"/>
        </w:rPr>
      </w:pPr>
      <w:r w:rsidRPr="00DB70A9">
        <w:rPr>
          <w:b/>
          <w:color w:val="1F497D" w:themeColor="text2"/>
          <w:sz w:val="28"/>
          <w:szCs w:val="28"/>
        </w:rPr>
        <w:t>PŘÍJMY</w:t>
      </w:r>
    </w:p>
    <w:p w:rsidR="00DB70A9" w:rsidRPr="00DB70A9" w:rsidRDefault="00DB70A9" w:rsidP="00CB21BF">
      <w:pPr>
        <w:jc w:val="both"/>
        <w:rPr>
          <w:b/>
          <w:color w:val="00B0F0"/>
        </w:rPr>
      </w:pPr>
      <w:r w:rsidRPr="00DB70A9">
        <w:rPr>
          <w:b/>
          <w:color w:val="00B0F0"/>
        </w:rPr>
        <w:t>Daňové příjmy</w:t>
      </w:r>
    </w:p>
    <w:p w:rsidR="00836927" w:rsidRDefault="00836927" w:rsidP="00CB21BF">
      <w:pPr>
        <w:jc w:val="both"/>
      </w:pPr>
      <w:r>
        <w:t>Rozhodující</w:t>
      </w:r>
      <w:r w:rsidR="00CB21BF">
        <w:t xml:space="preserve"> </w:t>
      </w:r>
      <w:r>
        <w:t xml:space="preserve">položkou v příjmové části jsou daňové příjmy, které představují cca 80 % rozpočtovaných příjmů města. Jejich výše v jednotlivých letech je dána předpokladem MF ČR o objemu jejich výběru a podílem dle rozpočtového určení daní, kde se předpokládá </w:t>
      </w:r>
      <w:r w:rsidR="00EA6768">
        <w:t xml:space="preserve">jejich meziroční nárůst. </w:t>
      </w:r>
    </w:p>
    <w:p w:rsidR="008B0DA8" w:rsidRDefault="008B0DA8" w:rsidP="00CB21BF">
      <w:pPr>
        <w:jc w:val="both"/>
      </w:pPr>
      <w:r>
        <w:lastRenderedPageBreak/>
        <w:t>Budoucnost daňových příjmů potáhne nahoru zejména výnos ze závislé činnosti fyzických osob, jinak je očekáván spíše skeptický vývoj.</w:t>
      </w:r>
    </w:p>
    <w:p w:rsidR="009774BE" w:rsidRDefault="009774BE" w:rsidP="00CB21BF">
      <w:pPr>
        <w:jc w:val="both"/>
      </w:pPr>
      <w:r>
        <w:t>Bylo posíleno kritérium počtu žáků ze 7 % na 9 %.</w:t>
      </w:r>
    </w:p>
    <w:p w:rsidR="00EA6768" w:rsidRDefault="00EA6768" w:rsidP="00CB21BF">
      <w:pPr>
        <w:jc w:val="both"/>
      </w:pPr>
      <w:r>
        <w:t>Při sestavování</w:t>
      </w:r>
      <w:r w:rsidR="00CB21BF">
        <w:t xml:space="preserve"> </w:t>
      </w:r>
      <w:r w:rsidR="000B5F4E">
        <w:t>SVR</w:t>
      </w:r>
      <w:r>
        <w:t xml:space="preserve"> na roky 20</w:t>
      </w:r>
      <w:r w:rsidR="008B0DA8">
        <w:t>21</w:t>
      </w:r>
      <w:r w:rsidR="000B5F4E">
        <w:t xml:space="preserve"> </w:t>
      </w:r>
      <w:r>
        <w:t>– 20</w:t>
      </w:r>
      <w:r w:rsidR="009774BE">
        <w:t>2</w:t>
      </w:r>
      <w:r w:rsidR="008B0DA8">
        <w:t>2</w:t>
      </w:r>
      <w:r>
        <w:t xml:space="preserve"> byly zohledněny vlivy na vývoj daňového inkasa v r. 201</w:t>
      </w:r>
      <w:r w:rsidR="008B0DA8">
        <w:t>9</w:t>
      </w:r>
      <w:r>
        <w:t xml:space="preserve"> dle MF ČR</w:t>
      </w:r>
      <w:r w:rsidR="00CB21BF">
        <w:t>.</w:t>
      </w:r>
    </w:p>
    <w:p w:rsidR="009774BE" w:rsidRDefault="009774BE" w:rsidP="00CB21BF">
      <w:pPr>
        <w:jc w:val="both"/>
      </w:pPr>
    </w:p>
    <w:p w:rsidR="00EA6768" w:rsidRPr="00DB70A9" w:rsidRDefault="00EA6768" w:rsidP="00CB21BF">
      <w:pPr>
        <w:jc w:val="both"/>
        <w:rPr>
          <w:b/>
          <w:color w:val="C0504D" w:themeColor="accent2"/>
        </w:rPr>
      </w:pPr>
      <w:r w:rsidRPr="00DB70A9">
        <w:rPr>
          <w:b/>
          <w:color w:val="C0504D" w:themeColor="accent2"/>
        </w:rPr>
        <w:t>DPH</w:t>
      </w:r>
    </w:p>
    <w:p w:rsidR="00EA6768" w:rsidRDefault="00EA6768" w:rsidP="00CB21BF">
      <w:pPr>
        <w:pStyle w:val="Odstavecseseznamem"/>
        <w:numPr>
          <w:ilvl w:val="0"/>
          <w:numId w:val="2"/>
        </w:numPr>
        <w:jc w:val="both"/>
      </w:pPr>
      <w:r>
        <w:t>Výraznější pokles vyplácených nadměrných odpočtů – pravděpodobný důsledek zavedení kontrolního hlášení a rozšiřování mechanismu přenesení daňové povinnosti</w:t>
      </w:r>
    </w:p>
    <w:p w:rsidR="00EA6768" w:rsidRDefault="00EA6768" w:rsidP="00CB21BF">
      <w:pPr>
        <w:pStyle w:val="Odstavecseseznamem"/>
        <w:numPr>
          <w:ilvl w:val="0"/>
          <w:numId w:val="2"/>
        </w:numPr>
        <w:jc w:val="both"/>
      </w:pPr>
      <w:r>
        <w:t>Meziročně vyšší růst spotřeby domácností a vlády</w:t>
      </w:r>
    </w:p>
    <w:p w:rsidR="009774BE" w:rsidRDefault="009774BE" w:rsidP="00CB21BF">
      <w:pPr>
        <w:pStyle w:val="Odstavecseseznamem"/>
        <w:numPr>
          <w:ilvl w:val="0"/>
          <w:numId w:val="2"/>
        </w:numPr>
        <w:jc w:val="both"/>
      </w:pPr>
      <w:r>
        <w:t xml:space="preserve">Zvýšení podílu obcí na DPH z 21,4 % na 23,58 % </w:t>
      </w:r>
    </w:p>
    <w:p w:rsidR="009774BE" w:rsidRDefault="009774BE" w:rsidP="009774BE">
      <w:pPr>
        <w:pStyle w:val="Odstavecseseznamem"/>
        <w:jc w:val="both"/>
      </w:pPr>
    </w:p>
    <w:p w:rsidR="00EA6768" w:rsidRPr="00DB70A9" w:rsidRDefault="00EA6768" w:rsidP="00CB21BF">
      <w:pPr>
        <w:jc w:val="both"/>
        <w:rPr>
          <w:b/>
          <w:color w:val="C0504D" w:themeColor="accent2"/>
        </w:rPr>
      </w:pPr>
      <w:r w:rsidRPr="00DB70A9">
        <w:rPr>
          <w:b/>
          <w:color w:val="C0504D" w:themeColor="accent2"/>
        </w:rPr>
        <w:t>DPFO</w:t>
      </w:r>
    </w:p>
    <w:p w:rsidR="00EA6768" w:rsidRDefault="00EA6768" w:rsidP="00CB21BF">
      <w:pPr>
        <w:pStyle w:val="Odstavecseseznamem"/>
        <w:numPr>
          <w:ilvl w:val="0"/>
          <w:numId w:val="3"/>
        </w:numPr>
        <w:jc w:val="both"/>
      </w:pPr>
      <w:r>
        <w:t>Navýšení mezd zaměstnanců v podnikatelské sféře</w:t>
      </w:r>
    </w:p>
    <w:p w:rsidR="00EA6768" w:rsidRDefault="00EA6768" w:rsidP="00CB21BF">
      <w:pPr>
        <w:pStyle w:val="Odstavecseseznamem"/>
        <w:numPr>
          <w:ilvl w:val="0"/>
          <w:numId w:val="3"/>
        </w:numPr>
        <w:jc w:val="both"/>
      </w:pPr>
      <w:r>
        <w:t>Snižování míry nezaměstnanosti</w:t>
      </w:r>
    </w:p>
    <w:p w:rsidR="00EA6768" w:rsidRDefault="00EA6768" w:rsidP="00CB21BF">
      <w:pPr>
        <w:pStyle w:val="Odstavecseseznamem"/>
        <w:numPr>
          <w:ilvl w:val="0"/>
          <w:numId w:val="3"/>
        </w:numPr>
        <w:jc w:val="both"/>
      </w:pPr>
      <w:r>
        <w:t>Navyšováním platů ve veřejné správě</w:t>
      </w:r>
    </w:p>
    <w:p w:rsidR="00EA6768" w:rsidRDefault="00EA6768" w:rsidP="00CB21BF">
      <w:pPr>
        <w:pStyle w:val="Odstavecseseznamem"/>
        <w:numPr>
          <w:ilvl w:val="0"/>
          <w:numId w:val="3"/>
        </w:numPr>
        <w:jc w:val="both"/>
      </w:pPr>
      <w:r>
        <w:t>Drobná změna podílu RUD obcí a krajů (od 1. 1. 2016 – navýšení z podílu 22,87 % na 23,58 %</w:t>
      </w:r>
      <w:r w:rsidR="00CB21BF">
        <w:t xml:space="preserve">. </w:t>
      </w:r>
    </w:p>
    <w:p w:rsidR="00CB21BF" w:rsidRPr="00DB70A9" w:rsidRDefault="00CB21BF" w:rsidP="00CB21BF">
      <w:pPr>
        <w:jc w:val="both"/>
        <w:rPr>
          <w:b/>
          <w:color w:val="C0504D" w:themeColor="accent2"/>
        </w:rPr>
      </w:pPr>
      <w:r w:rsidRPr="00DB70A9">
        <w:rPr>
          <w:b/>
          <w:color w:val="C0504D" w:themeColor="accent2"/>
        </w:rPr>
        <w:t>DPPO</w:t>
      </w:r>
    </w:p>
    <w:p w:rsidR="00CB21BF" w:rsidRDefault="00CB21BF" w:rsidP="00CB21BF">
      <w:pPr>
        <w:pStyle w:val="Odstavecseseznamem"/>
        <w:numPr>
          <w:ilvl w:val="0"/>
          <w:numId w:val="4"/>
        </w:numPr>
        <w:jc w:val="both"/>
      </w:pPr>
      <w:r>
        <w:t>Pozitivní vývoj ekonomiky</w:t>
      </w:r>
    </w:p>
    <w:p w:rsidR="00CB21BF" w:rsidRDefault="00CB21BF" w:rsidP="00CB21BF">
      <w:pPr>
        <w:pStyle w:val="Odstavecseseznamem"/>
        <w:numPr>
          <w:ilvl w:val="0"/>
          <w:numId w:val="4"/>
        </w:numPr>
        <w:jc w:val="both"/>
      </w:pPr>
      <w:r>
        <w:t>Efektivnější výběr daně (kontrolní akce Finanční správy)</w:t>
      </w:r>
      <w:r>
        <w:rPr>
          <w:rStyle w:val="Znakapoznpodarou"/>
        </w:rPr>
        <w:footnoteReference w:id="1"/>
      </w:r>
    </w:p>
    <w:p w:rsidR="00DB70A9" w:rsidRDefault="00DB70A9" w:rsidP="00CB21BF">
      <w:pPr>
        <w:jc w:val="both"/>
      </w:pPr>
      <w:r>
        <w:t>Daňové příjmy dále zahrnují příjmy z místních a správních poplatků vybíraných na základě zákonů či obecně závazných vyhlášek (poplatek za odpady, z ubytování, ze psů, atd.)</w:t>
      </w:r>
    </w:p>
    <w:p w:rsidR="00DB70A9" w:rsidRPr="00DB70A9" w:rsidRDefault="00DB70A9" w:rsidP="00CB21BF">
      <w:pPr>
        <w:jc w:val="both"/>
        <w:rPr>
          <w:b/>
          <w:color w:val="00B0F0"/>
        </w:rPr>
      </w:pPr>
      <w:r w:rsidRPr="00DB70A9">
        <w:rPr>
          <w:b/>
          <w:color w:val="00B0F0"/>
        </w:rPr>
        <w:t>Nedaňové příjmy</w:t>
      </w:r>
    </w:p>
    <w:p w:rsidR="00DB70A9" w:rsidRDefault="00DB70A9" w:rsidP="00370A4C">
      <w:pPr>
        <w:pStyle w:val="Odstavecseseznamem"/>
        <w:numPr>
          <w:ilvl w:val="0"/>
          <w:numId w:val="9"/>
        </w:numPr>
        <w:jc w:val="both"/>
      </w:pPr>
      <w:r>
        <w:t>Nedaňové příjmy zahrnují z pronájmu majetku a z poskytovaných služeb s pronájmem související, příjmy z lesního hospodářství, atd.</w:t>
      </w:r>
      <w:r w:rsidR="008B0DA8">
        <w:t xml:space="preserve"> </w:t>
      </w:r>
    </w:p>
    <w:p w:rsidR="008B0DA8" w:rsidRDefault="008B0DA8" w:rsidP="00370A4C">
      <w:pPr>
        <w:pStyle w:val="Odstavecseseznamem"/>
        <w:numPr>
          <w:ilvl w:val="0"/>
          <w:numId w:val="9"/>
        </w:numPr>
        <w:jc w:val="both"/>
      </w:pPr>
      <w:r>
        <w:t>Nedaňové příjmy nejsou významné svou výší, ale nereagují tak citlivě na vývoj ekonomiky jako daňové příjmy a nejsou závislé na byrokratickém systému dotací.</w:t>
      </w:r>
    </w:p>
    <w:p w:rsidR="00DB70A9" w:rsidRPr="00DB70A9" w:rsidRDefault="00DB70A9" w:rsidP="00CB21BF">
      <w:pPr>
        <w:jc w:val="both"/>
        <w:rPr>
          <w:b/>
          <w:color w:val="00B0F0"/>
        </w:rPr>
      </w:pPr>
      <w:r w:rsidRPr="00DB70A9">
        <w:rPr>
          <w:b/>
          <w:color w:val="00B0F0"/>
        </w:rPr>
        <w:t>Kapitálové příjmy</w:t>
      </w:r>
    </w:p>
    <w:p w:rsidR="00DB70A9" w:rsidRDefault="00DB70A9" w:rsidP="00370A4C">
      <w:pPr>
        <w:pStyle w:val="Odstavecseseznamem"/>
        <w:numPr>
          <w:ilvl w:val="0"/>
          <w:numId w:val="9"/>
        </w:numPr>
        <w:jc w:val="both"/>
      </w:pPr>
      <w:r>
        <w:t>Nejsou rozpočtovány.</w:t>
      </w:r>
    </w:p>
    <w:p w:rsidR="009774BE" w:rsidRDefault="009774BE" w:rsidP="00370A4C">
      <w:pPr>
        <w:jc w:val="both"/>
        <w:rPr>
          <w:b/>
          <w:color w:val="00B0F0"/>
        </w:rPr>
      </w:pPr>
    </w:p>
    <w:p w:rsidR="00E2528D" w:rsidRDefault="00E2528D" w:rsidP="00370A4C">
      <w:pPr>
        <w:jc w:val="both"/>
        <w:rPr>
          <w:b/>
          <w:color w:val="00B0F0"/>
        </w:rPr>
      </w:pPr>
    </w:p>
    <w:p w:rsidR="00E2528D" w:rsidRDefault="00E2528D" w:rsidP="00370A4C">
      <w:pPr>
        <w:jc w:val="both"/>
        <w:rPr>
          <w:b/>
          <w:color w:val="00B0F0"/>
        </w:rPr>
      </w:pPr>
    </w:p>
    <w:p w:rsidR="00DB70A9" w:rsidRPr="00370A4C" w:rsidRDefault="00DB70A9" w:rsidP="00370A4C">
      <w:pPr>
        <w:jc w:val="both"/>
        <w:rPr>
          <w:b/>
          <w:color w:val="00B0F0"/>
        </w:rPr>
      </w:pPr>
      <w:r w:rsidRPr="00370A4C">
        <w:rPr>
          <w:b/>
          <w:color w:val="00B0F0"/>
        </w:rPr>
        <w:lastRenderedPageBreak/>
        <w:t>Dotace</w:t>
      </w:r>
    </w:p>
    <w:p w:rsidR="00DB70A9" w:rsidRDefault="00DB70A9" w:rsidP="00370A4C">
      <w:pPr>
        <w:pStyle w:val="Odstavecseseznamem"/>
        <w:numPr>
          <w:ilvl w:val="0"/>
          <w:numId w:val="9"/>
        </w:numPr>
        <w:jc w:val="both"/>
      </w:pPr>
      <w:r>
        <w:t>Dotace zahrnují především příjmy z prostředků jiných rozpočtů na základě uzavřených veřejnoprávních smluv, dále příspěvek na výkon státní správy</w:t>
      </w:r>
      <w:r w:rsidR="009774BE">
        <w:t>.</w:t>
      </w:r>
    </w:p>
    <w:p w:rsidR="00DB70A9" w:rsidRPr="00DB70A9" w:rsidRDefault="00DB70A9" w:rsidP="00CB21BF">
      <w:pPr>
        <w:jc w:val="both"/>
        <w:rPr>
          <w:b/>
          <w:color w:val="1F497D" w:themeColor="text2"/>
          <w:sz w:val="28"/>
          <w:szCs w:val="28"/>
        </w:rPr>
      </w:pPr>
      <w:r w:rsidRPr="00DB70A9">
        <w:rPr>
          <w:b/>
          <w:color w:val="1F497D" w:themeColor="text2"/>
          <w:sz w:val="28"/>
          <w:szCs w:val="28"/>
        </w:rPr>
        <w:t>VÝDAJE</w:t>
      </w:r>
    </w:p>
    <w:p w:rsidR="00DB70A9" w:rsidRDefault="00DB70A9" w:rsidP="00CB21BF">
      <w:pPr>
        <w:jc w:val="both"/>
        <w:rPr>
          <w:b/>
          <w:color w:val="00B0F0"/>
        </w:rPr>
      </w:pPr>
      <w:r w:rsidRPr="00DB70A9">
        <w:rPr>
          <w:b/>
          <w:color w:val="00B0F0"/>
        </w:rPr>
        <w:t>Běžné výdaje</w:t>
      </w:r>
    </w:p>
    <w:p w:rsidR="00D5741E" w:rsidRDefault="00D5741E" w:rsidP="00D5741E">
      <w:pPr>
        <w:spacing w:line="240" w:lineRule="auto"/>
        <w:jc w:val="both"/>
      </w:pPr>
      <w:r>
        <w:t xml:space="preserve">Běžnými výdaji jsou neinvestiční nákupy a související výdaje, tzv. mandatorní výdaje, které </w:t>
      </w:r>
      <w:proofErr w:type="gramStart"/>
      <w:r>
        <w:t>obsahují :</w:t>
      </w:r>
      <w:proofErr w:type="gramEnd"/>
    </w:p>
    <w:p w:rsidR="00D5741E" w:rsidRDefault="00D5741E" w:rsidP="00D5741E">
      <w:pPr>
        <w:pStyle w:val="Odstavecseseznamem"/>
        <w:numPr>
          <w:ilvl w:val="0"/>
          <w:numId w:val="8"/>
        </w:numPr>
        <w:spacing w:line="240" w:lineRule="auto"/>
        <w:jc w:val="both"/>
      </w:pPr>
      <w:r>
        <w:t>výdaje na svoz komunálního odpadu,</w:t>
      </w:r>
    </w:p>
    <w:p w:rsidR="00D5741E" w:rsidRDefault="00D5741E" w:rsidP="00D5741E">
      <w:pPr>
        <w:pStyle w:val="Odstavecseseznamem"/>
        <w:numPr>
          <w:ilvl w:val="0"/>
          <w:numId w:val="8"/>
        </w:numPr>
        <w:spacing w:line="240" w:lineRule="auto"/>
        <w:jc w:val="both"/>
      </w:pPr>
      <w:r>
        <w:t>výdaje na opravy a údržbu majetku</w:t>
      </w:r>
    </w:p>
    <w:p w:rsidR="00D5741E" w:rsidRDefault="00D5741E" w:rsidP="00D5741E">
      <w:pPr>
        <w:pStyle w:val="Odstavecseseznamem"/>
        <w:numPr>
          <w:ilvl w:val="0"/>
          <w:numId w:val="8"/>
        </w:numPr>
        <w:spacing w:line="240" w:lineRule="auto"/>
        <w:jc w:val="both"/>
      </w:pPr>
      <w:r>
        <w:t>výdaje, které zajišťuje odbor hospodářské správy,</w:t>
      </w:r>
    </w:p>
    <w:p w:rsidR="00D5741E" w:rsidRDefault="00D5741E" w:rsidP="00D5741E">
      <w:pPr>
        <w:pStyle w:val="Odstavecseseznamem"/>
        <w:numPr>
          <w:ilvl w:val="0"/>
          <w:numId w:val="8"/>
        </w:numPr>
        <w:spacing w:line="240" w:lineRule="auto"/>
        <w:jc w:val="both"/>
      </w:pPr>
      <w:r>
        <w:t>výdaje zajišťující bezpečnost a pořádek ve městě</w:t>
      </w:r>
    </w:p>
    <w:p w:rsidR="00D5741E" w:rsidRDefault="00D5741E" w:rsidP="00D5741E">
      <w:pPr>
        <w:pStyle w:val="Odstavecseseznamem"/>
        <w:numPr>
          <w:ilvl w:val="0"/>
          <w:numId w:val="8"/>
        </w:numPr>
        <w:spacing w:line="240" w:lineRule="auto"/>
        <w:jc w:val="both"/>
      </w:pPr>
      <w:r>
        <w:t>výdaje související s poskytováním příspěvků zřízeným příspěvkovým organizacím.</w:t>
      </w:r>
    </w:p>
    <w:p w:rsidR="00AE30CF" w:rsidRPr="00AE30CF" w:rsidRDefault="00AE30CF" w:rsidP="00AE30CF">
      <w:pPr>
        <w:jc w:val="both"/>
        <w:rPr>
          <w:b/>
          <w:color w:val="00B0F0"/>
        </w:rPr>
      </w:pPr>
      <w:r w:rsidRPr="00AE30CF">
        <w:rPr>
          <w:b/>
          <w:color w:val="00B0F0"/>
        </w:rPr>
        <w:t>Kapitálové výdaje</w:t>
      </w:r>
    </w:p>
    <w:p w:rsidR="00AE30CF" w:rsidRDefault="000B5F4E" w:rsidP="00370A4C">
      <w:pPr>
        <w:pStyle w:val="Odstavecseseznamem"/>
        <w:numPr>
          <w:ilvl w:val="0"/>
          <w:numId w:val="10"/>
        </w:numPr>
        <w:spacing w:line="240" w:lineRule="auto"/>
        <w:jc w:val="both"/>
      </w:pPr>
      <w:r>
        <w:t>SVR</w:t>
      </w:r>
      <w:r w:rsidR="00AE30CF">
        <w:t xml:space="preserve"> předpokládá nižší objem finančních prostředků v oblasti kapitálových výdajů, a to zejména z důvodu, že příjmová část rozpočtu neobsahuje kapitálové příjmy pro jejich pokrytí. Pokud bude vývoj příjmové části příznivý, tj. pokud bude město příjemcem dotačního titulu, bude možná realizace investičních akcí. Důležité je zajištění finanční spoluúčasti města (prostřednictvím úvěru, krytí přebytkem hospodaření, atd..)</w:t>
      </w:r>
    </w:p>
    <w:p w:rsidR="00AE30CF" w:rsidRDefault="00AE30CF" w:rsidP="00AE30CF">
      <w:pPr>
        <w:spacing w:line="240" w:lineRule="auto"/>
        <w:jc w:val="both"/>
      </w:pPr>
      <w:r>
        <w:t>Bude-li městu přiznána v roce 20</w:t>
      </w:r>
      <w:r w:rsidR="009774BE">
        <w:t>2</w:t>
      </w:r>
      <w:r w:rsidR="00DA760F">
        <w:t>1</w:t>
      </w:r>
      <w:r>
        <w:t xml:space="preserve"> a v následují</w:t>
      </w:r>
      <w:r w:rsidR="009774BE">
        <w:t>cí</w:t>
      </w:r>
      <w:r>
        <w:t xml:space="preserve">ch letech investiční dotace, provede se aktualizace </w:t>
      </w:r>
      <w:r w:rsidR="000B5F4E">
        <w:t>SVR</w:t>
      </w:r>
      <w:r>
        <w:t xml:space="preserve"> s tím, že bude aktualizována i výdajová část, ve které bude zohledněno finanční krytí.</w:t>
      </w:r>
    </w:p>
    <w:p w:rsidR="00AE30CF" w:rsidRPr="007175B5" w:rsidRDefault="007175B5" w:rsidP="007175B5">
      <w:pPr>
        <w:jc w:val="both"/>
        <w:rPr>
          <w:b/>
          <w:color w:val="00B0F0"/>
        </w:rPr>
      </w:pPr>
      <w:r w:rsidRPr="007175B5">
        <w:rPr>
          <w:b/>
          <w:color w:val="00B0F0"/>
        </w:rPr>
        <w:t>Financování</w:t>
      </w:r>
    </w:p>
    <w:p w:rsidR="007175B5" w:rsidRDefault="007175B5" w:rsidP="007175B5">
      <w:pPr>
        <w:pStyle w:val="Odstavecseseznamem"/>
        <w:numPr>
          <w:ilvl w:val="0"/>
          <w:numId w:val="10"/>
        </w:numPr>
      </w:pPr>
      <w:r>
        <w:t>V roce 2014 schválena a přijata Smlouva o úvěru s Českou spořitelnou, a. s. na akci „Snížení energetické náročnosti objektu ZŠ, Opletalova 699 v Benešově nad Ploučnicí“ ve výši 6 mil. Kč. Výše ročních splátek 999 600,00 Kč. Počátek splácení 01/2015, poslední splátka 12/2020.</w:t>
      </w:r>
    </w:p>
    <w:p w:rsidR="007175B5" w:rsidRDefault="007175B5" w:rsidP="00C92068">
      <w:pPr>
        <w:pStyle w:val="Odstavecseseznamem"/>
        <w:jc w:val="both"/>
      </w:pPr>
    </w:p>
    <w:p w:rsidR="007175B5" w:rsidRDefault="007175B5" w:rsidP="00C92068">
      <w:pPr>
        <w:pStyle w:val="Odstavecseseznamem"/>
        <w:numPr>
          <w:ilvl w:val="0"/>
          <w:numId w:val="10"/>
        </w:numPr>
        <w:jc w:val="both"/>
      </w:pPr>
      <w:r>
        <w:t>V roce 2016 schválena a přijata Smlouva o úvěru s KB, a. s. o úvěru na opravy nemovitého majetku města ve výši 6 000 000 Kč. Počátek splácení 01/2017. Výše ročních splátek 1 200 000 Kč. Poslední splátka 1. 12. 2021. Úvěr bude splácen částečně z přijatého nájemného a částečně z přebytků hospodaření minulých let.</w:t>
      </w:r>
    </w:p>
    <w:p w:rsidR="000B5F4E" w:rsidRDefault="000B5F4E" w:rsidP="00C92068">
      <w:pPr>
        <w:pStyle w:val="Odstavecseseznamem"/>
        <w:jc w:val="both"/>
      </w:pPr>
    </w:p>
    <w:p w:rsidR="000B5F4E" w:rsidRDefault="000B5F4E" w:rsidP="00C92068">
      <w:pPr>
        <w:pStyle w:val="Odstavecseseznamem"/>
        <w:numPr>
          <w:ilvl w:val="0"/>
          <w:numId w:val="10"/>
        </w:numPr>
        <w:jc w:val="both"/>
      </w:pPr>
      <w:r>
        <w:t xml:space="preserve">V roce 2017 schválena a přijata Smlouva o úvěru s KB, a. s. o úvěru na akce: </w:t>
      </w:r>
    </w:p>
    <w:p w:rsidR="000B5F4E" w:rsidRDefault="000B5F4E" w:rsidP="00C92068">
      <w:pPr>
        <w:pStyle w:val="Odstavecseseznamem"/>
        <w:jc w:val="both"/>
      </w:pPr>
    </w:p>
    <w:p w:rsidR="000B5F4E" w:rsidRDefault="002F1986" w:rsidP="00C92068">
      <w:pPr>
        <w:pStyle w:val="Odstavecseseznamem"/>
        <w:numPr>
          <w:ilvl w:val="0"/>
          <w:numId w:val="11"/>
        </w:numPr>
        <w:jc w:val="both"/>
      </w:pPr>
      <w:r>
        <w:t xml:space="preserve">rozšíření kapacity budovy </w:t>
      </w:r>
      <w:proofErr w:type="gramStart"/>
      <w:r>
        <w:t>MŠ                          5 </w:t>
      </w:r>
      <w:r w:rsidR="009774BE">
        <w:t>0</w:t>
      </w:r>
      <w:r>
        <w:t>00 000,00</w:t>
      </w:r>
      <w:proofErr w:type="gramEnd"/>
      <w:r>
        <w:t xml:space="preserve"> Kč</w:t>
      </w:r>
    </w:p>
    <w:p w:rsidR="002F1986" w:rsidRDefault="002F1986" w:rsidP="00C92068">
      <w:pPr>
        <w:pStyle w:val="Odstavecseseznamem"/>
        <w:numPr>
          <w:ilvl w:val="0"/>
          <w:numId w:val="11"/>
        </w:numPr>
        <w:jc w:val="both"/>
      </w:pPr>
      <w:r>
        <w:t>rekonstrukce mos</w:t>
      </w:r>
      <w:r w:rsidR="009774BE">
        <w:t xml:space="preserve">tu v ul. </w:t>
      </w:r>
      <w:proofErr w:type="gramStart"/>
      <w:r w:rsidR="009774BE">
        <w:t>Sokolovská            10 0</w:t>
      </w:r>
      <w:r>
        <w:t>00 000,00</w:t>
      </w:r>
      <w:proofErr w:type="gramEnd"/>
      <w:r>
        <w:t xml:space="preserve"> Kč.</w:t>
      </w:r>
    </w:p>
    <w:p w:rsidR="002F1986" w:rsidRDefault="002F1986" w:rsidP="00C92068">
      <w:pPr>
        <w:jc w:val="both"/>
      </w:pPr>
      <w:r>
        <w:t xml:space="preserve"> Počátek splácení 01/2018. Výše ročních </w:t>
      </w:r>
      <w:proofErr w:type="gramStart"/>
      <w:r>
        <w:t>splátek  3 000</w:t>
      </w:r>
      <w:r w:rsidR="00747E74">
        <w:t> </w:t>
      </w:r>
      <w:r>
        <w:t>000</w:t>
      </w:r>
      <w:r w:rsidR="00747E74">
        <w:t>,00</w:t>
      </w:r>
      <w:proofErr w:type="gramEnd"/>
      <w:r>
        <w:t xml:space="preserve"> Kč.  Poslední splátka</w:t>
      </w:r>
      <w:r w:rsidR="00C92068">
        <w:t xml:space="preserve"> </w:t>
      </w:r>
      <w:r w:rsidR="009774BE">
        <w:t>12</w:t>
      </w:r>
      <w:r w:rsidR="00C92068">
        <w:t xml:space="preserve">/2022. </w:t>
      </w:r>
      <w:proofErr w:type="gramStart"/>
      <w:r w:rsidR="00C92068">
        <w:t xml:space="preserve">Úvěr  </w:t>
      </w:r>
      <w:r w:rsidR="00324BA3">
        <w:t xml:space="preserve"> </w:t>
      </w:r>
      <w:r w:rsidR="00C92068">
        <w:t>bude</w:t>
      </w:r>
      <w:proofErr w:type="gramEnd"/>
      <w:r w:rsidR="00C92068">
        <w:t xml:space="preserve"> splácen z přebytků hospodaření minulých let</w:t>
      </w:r>
      <w:r w:rsidR="00747E74">
        <w:t>.</w:t>
      </w:r>
      <w:r w:rsidR="00C92068">
        <w:t xml:space="preserve"> </w:t>
      </w:r>
      <w:r w:rsidR="00747E74">
        <w:t xml:space="preserve"> </w:t>
      </w:r>
    </w:p>
    <w:p w:rsidR="00324BA3" w:rsidRDefault="00324BA3" w:rsidP="00D5741E">
      <w:pPr>
        <w:jc w:val="both"/>
      </w:pPr>
      <w:r w:rsidRPr="00324BA3">
        <w:rPr>
          <w:b/>
        </w:rPr>
        <w:t>Město Benešov nad Ploučnicí dostojí svým současným závazkům.</w:t>
      </w:r>
    </w:p>
    <w:p w:rsidR="007175B5" w:rsidRPr="00DB70A9" w:rsidRDefault="007175B5" w:rsidP="00D5741E">
      <w:pPr>
        <w:jc w:val="both"/>
      </w:pPr>
      <w:r>
        <w:t>Zpracovala: Bc. Lenka Sluková, vedoucí finančního odboru</w:t>
      </w:r>
    </w:p>
    <w:sectPr w:rsidR="007175B5" w:rsidRPr="00DB70A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82" w:rsidRDefault="00073982" w:rsidP="00CB21BF">
      <w:pPr>
        <w:spacing w:after="0" w:line="240" w:lineRule="auto"/>
      </w:pPr>
      <w:r>
        <w:separator/>
      </w:r>
    </w:p>
  </w:endnote>
  <w:endnote w:type="continuationSeparator" w:id="0">
    <w:p w:rsidR="00073982" w:rsidRDefault="00073982" w:rsidP="00CB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570155"/>
      <w:docPartObj>
        <w:docPartGallery w:val="Page Numbers (Bottom of Page)"/>
        <w:docPartUnique/>
      </w:docPartObj>
    </w:sdtPr>
    <w:sdtEndPr/>
    <w:sdtContent>
      <w:p w:rsidR="008B5A71" w:rsidRDefault="008B5A71">
        <w:pPr>
          <w:pStyle w:val="Zpat"/>
          <w:jc w:val="center"/>
        </w:pPr>
        <w:r>
          <w:fldChar w:fldCharType="begin"/>
        </w:r>
        <w:r>
          <w:instrText>PAGE   \* MERGEFORMAT</w:instrText>
        </w:r>
        <w:r>
          <w:fldChar w:fldCharType="separate"/>
        </w:r>
        <w:r w:rsidR="00887B57">
          <w:rPr>
            <w:noProof/>
          </w:rPr>
          <w:t>3</w:t>
        </w:r>
        <w:r>
          <w:fldChar w:fldCharType="end"/>
        </w:r>
      </w:p>
    </w:sdtContent>
  </w:sdt>
  <w:p w:rsidR="008B5A71" w:rsidRDefault="008B5A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82" w:rsidRDefault="00073982" w:rsidP="00CB21BF">
      <w:pPr>
        <w:spacing w:after="0" w:line="240" w:lineRule="auto"/>
      </w:pPr>
      <w:r>
        <w:separator/>
      </w:r>
    </w:p>
  </w:footnote>
  <w:footnote w:type="continuationSeparator" w:id="0">
    <w:p w:rsidR="00073982" w:rsidRDefault="00073982" w:rsidP="00CB21BF">
      <w:pPr>
        <w:spacing w:after="0" w:line="240" w:lineRule="auto"/>
      </w:pPr>
      <w:r>
        <w:continuationSeparator/>
      </w:r>
    </w:p>
  </w:footnote>
  <w:footnote w:id="1">
    <w:p w:rsidR="00CB21BF" w:rsidRDefault="00CB21BF">
      <w:pPr>
        <w:pStyle w:val="Textpoznpodarou"/>
      </w:pPr>
      <w:r>
        <w:rPr>
          <w:rStyle w:val="Znakapoznpodarou"/>
        </w:rPr>
        <w:footnoteRef/>
      </w:r>
      <w:r>
        <w:t xml:space="preserve"> Luděk Tesař – CITY FINANCE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71" w:rsidRPr="007B32B5" w:rsidRDefault="007B32B5">
    <w:pPr>
      <w:pStyle w:val="Zhlav"/>
      <w:rPr>
        <w:i/>
        <w:sz w:val="16"/>
        <w:szCs w:val="16"/>
      </w:rPr>
    </w:pPr>
    <w:r w:rsidRPr="007B32B5">
      <w:rPr>
        <w:i/>
        <w:sz w:val="16"/>
        <w:szCs w:val="16"/>
      </w:rPr>
      <w:t>Střednědobý výhled rozpočtu na roky 20</w:t>
    </w:r>
    <w:r w:rsidR="00C93283">
      <w:rPr>
        <w:i/>
        <w:sz w:val="16"/>
        <w:szCs w:val="16"/>
      </w:rPr>
      <w:t>21-2022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7C1"/>
    <w:multiLevelType w:val="hybridMultilevel"/>
    <w:tmpl w:val="9DC40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CC7E8B"/>
    <w:multiLevelType w:val="hybridMultilevel"/>
    <w:tmpl w:val="D7D81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620BB2"/>
    <w:multiLevelType w:val="hybridMultilevel"/>
    <w:tmpl w:val="E974A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ABA637C"/>
    <w:multiLevelType w:val="hybridMultilevel"/>
    <w:tmpl w:val="A58A3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24C59F3"/>
    <w:multiLevelType w:val="hybridMultilevel"/>
    <w:tmpl w:val="01F2E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E30757"/>
    <w:multiLevelType w:val="hybridMultilevel"/>
    <w:tmpl w:val="A39C1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6A57B6A"/>
    <w:multiLevelType w:val="hybridMultilevel"/>
    <w:tmpl w:val="BEC08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1233416"/>
    <w:multiLevelType w:val="hybridMultilevel"/>
    <w:tmpl w:val="FF2E5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C1813C0"/>
    <w:multiLevelType w:val="hybridMultilevel"/>
    <w:tmpl w:val="22AC7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20D31EC"/>
    <w:multiLevelType w:val="hybridMultilevel"/>
    <w:tmpl w:val="CD56E62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7FBE01DE"/>
    <w:multiLevelType w:val="hybridMultilevel"/>
    <w:tmpl w:val="B816A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3"/>
  </w:num>
  <w:num w:numId="6">
    <w:abstractNumId w:val="0"/>
  </w:num>
  <w:num w:numId="7">
    <w:abstractNumId w:val="2"/>
  </w:num>
  <w:num w:numId="8">
    <w:abstractNumId w:val="10"/>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27"/>
    <w:rsid w:val="000120D7"/>
    <w:rsid w:val="00071D97"/>
    <w:rsid w:val="00073982"/>
    <w:rsid w:val="000B5F4E"/>
    <w:rsid w:val="000E1CD7"/>
    <w:rsid w:val="00127BB0"/>
    <w:rsid w:val="00137E1D"/>
    <w:rsid w:val="002877C9"/>
    <w:rsid w:val="002F1986"/>
    <w:rsid w:val="00316A2B"/>
    <w:rsid w:val="00324BA3"/>
    <w:rsid w:val="00370A4C"/>
    <w:rsid w:val="00380C92"/>
    <w:rsid w:val="003C2C7C"/>
    <w:rsid w:val="00427408"/>
    <w:rsid w:val="004D1B84"/>
    <w:rsid w:val="004D766D"/>
    <w:rsid w:val="004D7D33"/>
    <w:rsid w:val="005C0ED3"/>
    <w:rsid w:val="00625B73"/>
    <w:rsid w:val="007175B5"/>
    <w:rsid w:val="00747E74"/>
    <w:rsid w:val="007A4FAD"/>
    <w:rsid w:val="007B32B5"/>
    <w:rsid w:val="00836927"/>
    <w:rsid w:val="00887B57"/>
    <w:rsid w:val="008B0DA8"/>
    <w:rsid w:val="008B5A71"/>
    <w:rsid w:val="009774BE"/>
    <w:rsid w:val="009B166B"/>
    <w:rsid w:val="009D291C"/>
    <w:rsid w:val="00A87D5D"/>
    <w:rsid w:val="00AE30CF"/>
    <w:rsid w:val="00B3412E"/>
    <w:rsid w:val="00B77A4B"/>
    <w:rsid w:val="00BB6CA3"/>
    <w:rsid w:val="00C5423D"/>
    <w:rsid w:val="00C72085"/>
    <w:rsid w:val="00C92068"/>
    <w:rsid w:val="00C93283"/>
    <w:rsid w:val="00CB21BF"/>
    <w:rsid w:val="00CB72B6"/>
    <w:rsid w:val="00D25462"/>
    <w:rsid w:val="00D35E02"/>
    <w:rsid w:val="00D52061"/>
    <w:rsid w:val="00D5741E"/>
    <w:rsid w:val="00D70F0B"/>
    <w:rsid w:val="00D85821"/>
    <w:rsid w:val="00D91964"/>
    <w:rsid w:val="00DA760F"/>
    <w:rsid w:val="00DB70A9"/>
    <w:rsid w:val="00DC4A66"/>
    <w:rsid w:val="00DD6D7F"/>
    <w:rsid w:val="00E01A4C"/>
    <w:rsid w:val="00E2528D"/>
    <w:rsid w:val="00EA6768"/>
    <w:rsid w:val="00EC5867"/>
    <w:rsid w:val="00F6499D"/>
    <w:rsid w:val="00F97B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34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B3412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B341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69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6927"/>
    <w:rPr>
      <w:rFonts w:ascii="Tahoma" w:hAnsi="Tahoma" w:cs="Tahoma"/>
      <w:sz w:val="16"/>
      <w:szCs w:val="16"/>
    </w:rPr>
  </w:style>
  <w:style w:type="paragraph" w:styleId="Odstavecseseznamem">
    <w:name w:val="List Paragraph"/>
    <w:basedOn w:val="Normln"/>
    <w:uiPriority w:val="34"/>
    <w:qFormat/>
    <w:rsid w:val="00EA6768"/>
    <w:pPr>
      <w:ind w:left="720"/>
      <w:contextualSpacing/>
    </w:pPr>
  </w:style>
  <w:style w:type="paragraph" w:styleId="Textpoznpodarou">
    <w:name w:val="footnote text"/>
    <w:basedOn w:val="Normln"/>
    <w:link w:val="TextpoznpodarouChar"/>
    <w:uiPriority w:val="99"/>
    <w:semiHidden/>
    <w:unhideWhenUsed/>
    <w:rsid w:val="00CB21B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B21BF"/>
    <w:rPr>
      <w:sz w:val="20"/>
      <w:szCs w:val="20"/>
    </w:rPr>
  </w:style>
  <w:style w:type="character" w:styleId="Znakapoznpodarou">
    <w:name w:val="footnote reference"/>
    <w:basedOn w:val="Standardnpsmoodstavce"/>
    <w:uiPriority w:val="99"/>
    <w:semiHidden/>
    <w:unhideWhenUsed/>
    <w:rsid w:val="00CB21BF"/>
    <w:rPr>
      <w:vertAlign w:val="superscript"/>
    </w:rPr>
  </w:style>
  <w:style w:type="character" w:customStyle="1" w:styleId="Nadpis2Char">
    <w:name w:val="Nadpis 2 Char"/>
    <w:basedOn w:val="Standardnpsmoodstavce"/>
    <w:link w:val="Nadpis2"/>
    <w:uiPriority w:val="9"/>
    <w:rsid w:val="00B3412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B3412E"/>
    <w:rPr>
      <w:rFonts w:asciiTheme="majorHAnsi" w:eastAsiaTheme="majorEastAsia" w:hAnsiTheme="majorHAnsi" w:cstheme="majorBidi"/>
      <w:b/>
      <w:bCs/>
      <w:color w:val="4F81BD" w:themeColor="accent1"/>
    </w:rPr>
  </w:style>
  <w:style w:type="character" w:customStyle="1" w:styleId="apple-converted-space">
    <w:name w:val="apple-converted-space"/>
    <w:basedOn w:val="Standardnpsmoodstavce"/>
    <w:rsid w:val="00B3412E"/>
  </w:style>
  <w:style w:type="character" w:styleId="Hypertextovodkaz">
    <w:name w:val="Hyperlink"/>
    <w:basedOn w:val="Standardnpsmoodstavce"/>
    <w:uiPriority w:val="99"/>
    <w:unhideWhenUsed/>
    <w:rsid w:val="00B3412E"/>
    <w:rPr>
      <w:color w:val="0000FF"/>
      <w:u w:val="single"/>
    </w:rPr>
  </w:style>
  <w:style w:type="character" w:customStyle="1" w:styleId="Nadpis1Char">
    <w:name w:val="Nadpis 1 Char"/>
    <w:basedOn w:val="Standardnpsmoodstavce"/>
    <w:link w:val="Nadpis1"/>
    <w:uiPriority w:val="9"/>
    <w:rsid w:val="00B3412E"/>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8B5A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5A71"/>
  </w:style>
  <w:style w:type="paragraph" w:styleId="Zpat">
    <w:name w:val="footer"/>
    <w:basedOn w:val="Normln"/>
    <w:link w:val="ZpatChar"/>
    <w:uiPriority w:val="99"/>
    <w:unhideWhenUsed/>
    <w:rsid w:val="008B5A71"/>
    <w:pPr>
      <w:tabs>
        <w:tab w:val="center" w:pos="4536"/>
        <w:tab w:val="right" w:pos="9072"/>
      </w:tabs>
      <w:spacing w:after="0" w:line="240" w:lineRule="auto"/>
    </w:pPr>
  </w:style>
  <w:style w:type="character" w:customStyle="1" w:styleId="ZpatChar">
    <w:name w:val="Zápatí Char"/>
    <w:basedOn w:val="Standardnpsmoodstavce"/>
    <w:link w:val="Zpat"/>
    <w:uiPriority w:val="99"/>
    <w:rsid w:val="008B5A71"/>
  </w:style>
  <w:style w:type="paragraph" w:customStyle="1" w:styleId="Default">
    <w:name w:val="Default"/>
    <w:rsid w:val="009774B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34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B3412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B341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69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6927"/>
    <w:rPr>
      <w:rFonts w:ascii="Tahoma" w:hAnsi="Tahoma" w:cs="Tahoma"/>
      <w:sz w:val="16"/>
      <w:szCs w:val="16"/>
    </w:rPr>
  </w:style>
  <w:style w:type="paragraph" w:styleId="Odstavecseseznamem">
    <w:name w:val="List Paragraph"/>
    <w:basedOn w:val="Normln"/>
    <w:uiPriority w:val="34"/>
    <w:qFormat/>
    <w:rsid w:val="00EA6768"/>
    <w:pPr>
      <w:ind w:left="720"/>
      <w:contextualSpacing/>
    </w:pPr>
  </w:style>
  <w:style w:type="paragraph" w:styleId="Textpoznpodarou">
    <w:name w:val="footnote text"/>
    <w:basedOn w:val="Normln"/>
    <w:link w:val="TextpoznpodarouChar"/>
    <w:uiPriority w:val="99"/>
    <w:semiHidden/>
    <w:unhideWhenUsed/>
    <w:rsid w:val="00CB21B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B21BF"/>
    <w:rPr>
      <w:sz w:val="20"/>
      <w:szCs w:val="20"/>
    </w:rPr>
  </w:style>
  <w:style w:type="character" w:styleId="Znakapoznpodarou">
    <w:name w:val="footnote reference"/>
    <w:basedOn w:val="Standardnpsmoodstavce"/>
    <w:uiPriority w:val="99"/>
    <w:semiHidden/>
    <w:unhideWhenUsed/>
    <w:rsid w:val="00CB21BF"/>
    <w:rPr>
      <w:vertAlign w:val="superscript"/>
    </w:rPr>
  </w:style>
  <w:style w:type="character" w:customStyle="1" w:styleId="Nadpis2Char">
    <w:name w:val="Nadpis 2 Char"/>
    <w:basedOn w:val="Standardnpsmoodstavce"/>
    <w:link w:val="Nadpis2"/>
    <w:uiPriority w:val="9"/>
    <w:rsid w:val="00B3412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B3412E"/>
    <w:rPr>
      <w:rFonts w:asciiTheme="majorHAnsi" w:eastAsiaTheme="majorEastAsia" w:hAnsiTheme="majorHAnsi" w:cstheme="majorBidi"/>
      <w:b/>
      <w:bCs/>
      <w:color w:val="4F81BD" w:themeColor="accent1"/>
    </w:rPr>
  </w:style>
  <w:style w:type="character" w:customStyle="1" w:styleId="apple-converted-space">
    <w:name w:val="apple-converted-space"/>
    <w:basedOn w:val="Standardnpsmoodstavce"/>
    <w:rsid w:val="00B3412E"/>
  </w:style>
  <w:style w:type="character" w:styleId="Hypertextovodkaz">
    <w:name w:val="Hyperlink"/>
    <w:basedOn w:val="Standardnpsmoodstavce"/>
    <w:uiPriority w:val="99"/>
    <w:unhideWhenUsed/>
    <w:rsid w:val="00B3412E"/>
    <w:rPr>
      <w:color w:val="0000FF"/>
      <w:u w:val="single"/>
    </w:rPr>
  </w:style>
  <w:style w:type="character" w:customStyle="1" w:styleId="Nadpis1Char">
    <w:name w:val="Nadpis 1 Char"/>
    <w:basedOn w:val="Standardnpsmoodstavce"/>
    <w:link w:val="Nadpis1"/>
    <w:uiPriority w:val="9"/>
    <w:rsid w:val="00B3412E"/>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8B5A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5A71"/>
  </w:style>
  <w:style w:type="paragraph" w:styleId="Zpat">
    <w:name w:val="footer"/>
    <w:basedOn w:val="Normln"/>
    <w:link w:val="ZpatChar"/>
    <w:uiPriority w:val="99"/>
    <w:unhideWhenUsed/>
    <w:rsid w:val="008B5A71"/>
    <w:pPr>
      <w:tabs>
        <w:tab w:val="center" w:pos="4536"/>
        <w:tab w:val="right" w:pos="9072"/>
      </w:tabs>
      <w:spacing w:after="0" w:line="240" w:lineRule="auto"/>
    </w:pPr>
  </w:style>
  <w:style w:type="character" w:customStyle="1" w:styleId="ZpatChar">
    <w:name w:val="Zápatí Char"/>
    <w:basedOn w:val="Standardnpsmoodstavce"/>
    <w:link w:val="Zpat"/>
    <w:uiPriority w:val="99"/>
    <w:rsid w:val="008B5A71"/>
  </w:style>
  <w:style w:type="paragraph" w:customStyle="1" w:styleId="Default">
    <w:name w:val="Default"/>
    <w:rsid w:val="009774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6668">
      <w:bodyDiv w:val="1"/>
      <w:marLeft w:val="0"/>
      <w:marRight w:val="0"/>
      <w:marTop w:val="0"/>
      <w:marBottom w:val="0"/>
      <w:divBdr>
        <w:top w:val="none" w:sz="0" w:space="0" w:color="auto"/>
        <w:left w:val="none" w:sz="0" w:space="0" w:color="auto"/>
        <w:bottom w:val="none" w:sz="0" w:space="0" w:color="auto"/>
        <w:right w:val="none" w:sz="0" w:space="0" w:color="auto"/>
      </w:divBdr>
    </w:div>
    <w:div w:id="330134905">
      <w:bodyDiv w:val="1"/>
      <w:marLeft w:val="0"/>
      <w:marRight w:val="0"/>
      <w:marTop w:val="0"/>
      <w:marBottom w:val="0"/>
      <w:divBdr>
        <w:top w:val="none" w:sz="0" w:space="0" w:color="auto"/>
        <w:left w:val="none" w:sz="0" w:space="0" w:color="auto"/>
        <w:bottom w:val="none" w:sz="0" w:space="0" w:color="auto"/>
        <w:right w:val="none" w:sz="0" w:space="0" w:color="auto"/>
      </w:divBdr>
    </w:div>
    <w:div w:id="416368700">
      <w:bodyDiv w:val="1"/>
      <w:marLeft w:val="0"/>
      <w:marRight w:val="0"/>
      <w:marTop w:val="0"/>
      <w:marBottom w:val="0"/>
      <w:divBdr>
        <w:top w:val="none" w:sz="0" w:space="0" w:color="auto"/>
        <w:left w:val="none" w:sz="0" w:space="0" w:color="auto"/>
        <w:bottom w:val="none" w:sz="0" w:space="0" w:color="auto"/>
        <w:right w:val="none" w:sz="0" w:space="0" w:color="auto"/>
      </w:divBdr>
    </w:div>
    <w:div w:id="505100889">
      <w:bodyDiv w:val="1"/>
      <w:marLeft w:val="0"/>
      <w:marRight w:val="0"/>
      <w:marTop w:val="0"/>
      <w:marBottom w:val="0"/>
      <w:divBdr>
        <w:top w:val="none" w:sz="0" w:space="0" w:color="auto"/>
        <w:left w:val="none" w:sz="0" w:space="0" w:color="auto"/>
        <w:bottom w:val="none" w:sz="0" w:space="0" w:color="auto"/>
        <w:right w:val="none" w:sz="0" w:space="0" w:color="auto"/>
      </w:divBdr>
    </w:div>
    <w:div w:id="1359310484">
      <w:bodyDiv w:val="1"/>
      <w:marLeft w:val="0"/>
      <w:marRight w:val="0"/>
      <w:marTop w:val="0"/>
      <w:marBottom w:val="0"/>
      <w:divBdr>
        <w:top w:val="none" w:sz="0" w:space="0" w:color="auto"/>
        <w:left w:val="none" w:sz="0" w:space="0" w:color="auto"/>
        <w:bottom w:val="none" w:sz="0" w:space="0" w:color="auto"/>
        <w:right w:val="none" w:sz="0" w:space="0" w:color="auto"/>
      </w:divBdr>
    </w:div>
    <w:div w:id="1373269452">
      <w:bodyDiv w:val="1"/>
      <w:marLeft w:val="0"/>
      <w:marRight w:val="0"/>
      <w:marTop w:val="0"/>
      <w:marBottom w:val="0"/>
      <w:divBdr>
        <w:top w:val="none" w:sz="0" w:space="0" w:color="auto"/>
        <w:left w:val="none" w:sz="0" w:space="0" w:color="auto"/>
        <w:bottom w:val="none" w:sz="0" w:space="0" w:color="auto"/>
        <w:right w:val="none" w:sz="0" w:space="0" w:color="auto"/>
      </w:divBdr>
    </w:div>
    <w:div w:id="1390301390">
      <w:bodyDiv w:val="1"/>
      <w:marLeft w:val="0"/>
      <w:marRight w:val="0"/>
      <w:marTop w:val="0"/>
      <w:marBottom w:val="0"/>
      <w:divBdr>
        <w:top w:val="none" w:sz="0" w:space="0" w:color="auto"/>
        <w:left w:val="none" w:sz="0" w:space="0" w:color="auto"/>
        <w:bottom w:val="none" w:sz="0" w:space="0" w:color="auto"/>
        <w:right w:val="none" w:sz="0" w:space="0" w:color="auto"/>
      </w:divBdr>
      <w:divsChild>
        <w:div w:id="1593784463">
          <w:marLeft w:val="0"/>
          <w:marRight w:val="0"/>
          <w:marTop w:val="0"/>
          <w:marBottom w:val="0"/>
          <w:divBdr>
            <w:top w:val="none" w:sz="0" w:space="0" w:color="auto"/>
            <w:left w:val="none" w:sz="0" w:space="0" w:color="auto"/>
            <w:bottom w:val="none" w:sz="0" w:space="0" w:color="auto"/>
            <w:right w:val="none" w:sz="0" w:space="0" w:color="auto"/>
          </w:divBdr>
          <w:divsChild>
            <w:div w:id="1981230319">
              <w:marLeft w:val="0"/>
              <w:marRight w:val="0"/>
              <w:marTop w:val="0"/>
              <w:marBottom w:val="0"/>
              <w:divBdr>
                <w:top w:val="none" w:sz="0" w:space="0" w:color="auto"/>
                <w:left w:val="none" w:sz="0" w:space="0" w:color="auto"/>
                <w:bottom w:val="none" w:sz="0" w:space="0" w:color="auto"/>
                <w:right w:val="none" w:sz="0" w:space="0" w:color="auto"/>
              </w:divBdr>
              <w:divsChild>
                <w:div w:id="978803102">
                  <w:marLeft w:val="0"/>
                  <w:marRight w:val="0"/>
                  <w:marTop w:val="0"/>
                  <w:marBottom w:val="0"/>
                  <w:divBdr>
                    <w:top w:val="none" w:sz="0" w:space="0" w:color="auto"/>
                    <w:left w:val="none" w:sz="0" w:space="0" w:color="auto"/>
                    <w:bottom w:val="none" w:sz="0" w:space="0" w:color="auto"/>
                    <w:right w:val="none" w:sz="0" w:space="0" w:color="auto"/>
                  </w:divBdr>
                </w:div>
                <w:div w:id="633369448">
                  <w:marLeft w:val="0"/>
                  <w:marRight w:val="0"/>
                  <w:marTop w:val="0"/>
                  <w:marBottom w:val="0"/>
                  <w:divBdr>
                    <w:top w:val="none" w:sz="0" w:space="0" w:color="auto"/>
                    <w:left w:val="none" w:sz="0" w:space="0" w:color="auto"/>
                    <w:bottom w:val="none" w:sz="0" w:space="0" w:color="auto"/>
                    <w:right w:val="none" w:sz="0" w:space="0" w:color="auto"/>
                  </w:divBdr>
                </w:div>
                <w:div w:id="2081781068">
                  <w:marLeft w:val="0"/>
                  <w:marRight w:val="0"/>
                  <w:marTop w:val="0"/>
                  <w:marBottom w:val="0"/>
                  <w:divBdr>
                    <w:top w:val="none" w:sz="0" w:space="0" w:color="auto"/>
                    <w:left w:val="none" w:sz="0" w:space="0" w:color="auto"/>
                    <w:bottom w:val="none" w:sz="0" w:space="0" w:color="auto"/>
                    <w:right w:val="none" w:sz="0" w:space="0" w:color="auto"/>
                  </w:divBdr>
                </w:div>
                <w:div w:id="253519693">
                  <w:marLeft w:val="0"/>
                  <w:marRight w:val="0"/>
                  <w:marTop w:val="0"/>
                  <w:marBottom w:val="0"/>
                  <w:divBdr>
                    <w:top w:val="none" w:sz="0" w:space="0" w:color="auto"/>
                    <w:left w:val="none" w:sz="0" w:space="0" w:color="auto"/>
                    <w:bottom w:val="none" w:sz="0" w:space="0" w:color="auto"/>
                    <w:right w:val="none" w:sz="0" w:space="0" w:color="auto"/>
                  </w:divBdr>
                </w:div>
                <w:div w:id="2968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2922">
      <w:bodyDiv w:val="1"/>
      <w:marLeft w:val="0"/>
      <w:marRight w:val="0"/>
      <w:marTop w:val="0"/>
      <w:marBottom w:val="0"/>
      <w:divBdr>
        <w:top w:val="none" w:sz="0" w:space="0" w:color="auto"/>
        <w:left w:val="none" w:sz="0" w:space="0" w:color="auto"/>
        <w:bottom w:val="none" w:sz="0" w:space="0" w:color="auto"/>
        <w:right w:val="none" w:sz="0" w:space="0" w:color="auto"/>
      </w:divBdr>
      <w:divsChild>
        <w:div w:id="2062433666">
          <w:marLeft w:val="0"/>
          <w:marRight w:val="0"/>
          <w:marTop w:val="0"/>
          <w:marBottom w:val="0"/>
          <w:divBdr>
            <w:top w:val="none" w:sz="0" w:space="0" w:color="auto"/>
            <w:left w:val="none" w:sz="0" w:space="0" w:color="auto"/>
            <w:bottom w:val="none" w:sz="0" w:space="0" w:color="auto"/>
            <w:right w:val="none" w:sz="0" w:space="0" w:color="auto"/>
          </w:divBdr>
          <w:divsChild>
            <w:div w:id="919486892">
              <w:marLeft w:val="0"/>
              <w:marRight w:val="0"/>
              <w:marTop w:val="0"/>
              <w:marBottom w:val="0"/>
              <w:divBdr>
                <w:top w:val="none" w:sz="0" w:space="0" w:color="auto"/>
                <w:left w:val="none" w:sz="0" w:space="0" w:color="auto"/>
                <w:bottom w:val="none" w:sz="0" w:space="0" w:color="auto"/>
                <w:right w:val="none" w:sz="0" w:space="0" w:color="auto"/>
              </w:divBdr>
            </w:div>
          </w:divsChild>
        </w:div>
        <w:div w:id="818351524">
          <w:marLeft w:val="0"/>
          <w:marRight w:val="0"/>
          <w:marTop w:val="0"/>
          <w:marBottom w:val="0"/>
          <w:divBdr>
            <w:top w:val="none" w:sz="0" w:space="0" w:color="auto"/>
            <w:left w:val="none" w:sz="0" w:space="0" w:color="auto"/>
            <w:bottom w:val="none" w:sz="0" w:space="0" w:color="auto"/>
            <w:right w:val="none" w:sz="0" w:space="0" w:color="auto"/>
          </w:divBdr>
        </w:div>
      </w:divsChild>
    </w:div>
    <w:div w:id="1501308837">
      <w:bodyDiv w:val="1"/>
      <w:marLeft w:val="0"/>
      <w:marRight w:val="0"/>
      <w:marTop w:val="0"/>
      <w:marBottom w:val="0"/>
      <w:divBdr>
        <w:top w:val="none" w:sz="0" w:space="0" w:color="auto"/>
        <w:left w:val="none" w:sz="0" w:space="0" w:color="auto"/>
        <w:bottom w:val="none" w:sz="0" w:space="0" w:color="auto"/>
        <w:right w:val="none" w:sz="0" w:space="0" w:color="auto"/>
      </w:divBdr>
    </w:div>
    <w:div w:id="1598635991">
      <w:bodyDiv w:val="1"/>
      <w:marLeft w:val="0"/>
      <w:marRight w:val="0"/>
      <w:marTop w:val="0"/>
      <w:marBottom w:val="0"/>
      <w:divBdr>
        <w:top w:val="none" w:sz="0" w:space="0" w:color="auto"/>
        <w:left w:val="none" w:sz="0" w:space="0" w:color="auto"/>
        <w:bottom w:val="none" w:sz="0" w:space="0" w:color="auto"/>
        <w:right w:val="none" w:sz="0" w:space="0" w:color="auto"/>
      </w:divBdr>
    </w:div>
    <w:div w:id="20301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859E-E15D-42D5-AF2A-6735A0CE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1093</Words>
  <Characters>6455</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slukova</dc:creator>
  <cp:lastModifiedBy>Lenka Sluková</cp:lastModifiedBy>
  <cp:revision>8</cp:revision>
  <cp:lastPrinted>2019-11-14T07:39:00Z</cp:lastPrinted>
  <dcterms:created xsi:type="dcterms:W3CDTF">2019-11-13T19:25:00Z</dcterms:created>
  <dcterms:modified xsi:type="dcterms:W3CDTF">2020-01-08T07:54:00Z</dcterms:modified>
</cp:coreProperties>
</file>